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74352E4"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CB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462FDB">
        <w:rPr>
          <w:b/>
          <w:noProof/>
          <w:sz w:val="24"/>
          <w:lang w:val="en-US"/>
        </w:rPr>
        <w:t>1</w:t>
      </w:r>
      <w:r w:rsidR="00C9255D">
        <w:rPr>
          <w:b/>
          <w:noProof/>
          <w:sz w:val="24"/>
          <w:lang w:val="en-US"/>
        </w:rPr>
        <w:t xml:space="preserve">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E44AF7" w:rsidRPr="00E44AF7">
        <w:rPr>
          <w:b/>
          <w:noProof/>
          <w:sz w:val="24"/>
          <w:lang w:val="en-US"/>
        </w:rPr>
        <w:t>R2-2</w:t>
      </w:r>
      <w:r w:rsidR="00DE26BE">
        <w:rPr>
          <w:b/>
          <w:noProof/>
          <w:sz w:val="24"/>
          <w:lang w:val="en-US"/>
        </w:rPr>
        <w:t>300569</w:t>
      </w:r>
    </w:p>
    <w:p w14:paraId="351CA33D" w14:textId="7F2DDF81" w:rsidR="00347001" w:rsidRPr="002D2634" w:rsidRDefault="00CB4445" w:rsidP="00D870B2">
      <w:pPr>
        <w:tabs>
          <w:tab w:val="left" w:pos="1985"/>
        </w:tabs>
        <w:rPr>
          <w:bCs/>
          <w:i/>
          <w:iCs/>
          <w:color w:val="2F5496"/>
          <w:sz w:val="24"/>
          <w:lang w:val="pt-PT"/>
        </w:rPr>
      </w:pPr>
      <w:r>
        <w:rPr>
          <w:rFonts w:ascii="Arial" w:eastAsia="MS Mincho" w:hAnsi="Arial"/>
          <w:b/>
          <w:noProof/>
          <w:sz w:val="24"/>
        </w:rPr>
        <w:t>Athens</w:t>
      </w:r>
      <w:r w:rsidR="00C9255D" w:rsidRPr="00C9255D">
        <w:rPr>
          <w:rFonts w:ascii="Arial" w:eastAsia="MS Mincho" w:hAnsi="Arial"/>
          <w:b/>
          <w:noProof/>
          <w:sz w:val="24"/>
        </w:rPr>
        <w:t xml:space="preserve">, </w:t>
      </w:r>
      <w:r>
        <w:rPr>
          <w:rFonts w:ascii="Arial" w:eastAsia="MS Mincho" w:hAnsi="Arial"/>
          <w:b/>
          <w:noProof/>
          <w:sz w:val="24"/>
        </w:rPr>
        <w:t>Greece</w:t>
      </w:r>
      <w:r w:rsidR="00D870B2" w:rsidRPr="0076784F">
        <w:rPr>
          <w:rFonts w:ascii="Arial" w:eastAsia="MS Mincho" w:hAnsi="Arial"/>
          <w:b/>
          <w:noProof/>
          <w:sz w:val="24"/>
        </w:rPr>
        <w:t xml:space="preserve">, </w:t>
      </w:r>
      <w:r w:rsidR="002E3084">
        <w:rPr>
          <w:rFonts w:ascii="Arial" w:eastAsia="MS Mincho" w:hAnsi="Arial"/>
          <w:b/>
          <w:noProof/>
          <w:sz w:val="24"/>
        </w:rPr>
        <w:t xml:space="preserve"> </w:t>
      </w:r>
      <w:r w:rsidR="00546A49">
        <w:rPr>
          <w:rFonts w:ascii="Arial" w:eastAsia="MS Mincho" w:hAnsi="Arial"/>
          <w:b/>
          <w:noProof/>
          <w:sz w:val="24"/>
        </w:rPr>
        <w:t>February</w:t>
      </w:r>
      <w:r w:rsidR="00C9255D">
        <w:rPr>
          <w:rFonts w:ascii="Arial" w:eastAsia="MS Mincho" w:hAnsi="Arial"/>
          <w:b/>
          <w:noProof/>
          <w:sz w:val="24"/>
        </w:rPr>
        <w:t xml:space="preserve"> </w:t>
      </w:r>
      <w:r w:rsidR="00546A49">
        <w:rPr>
          <w:rFonts w:ascii="Arial" w:eastAsia="MS Mincho" w:hAnsi="Arial"/>
          <w:b/>
          <w:noProof/>
          <w:sz w:val="24"/>
        </w:rPr>
        <w:t>27</w:t>
      </w:r>
      <w:r w:rsidR="00C9255D">
        <w:rPr>
          <w:rFonts w:ascii="Arial" w:eastAsia="MS Mincho" w:hAnsi="Arial"/>
          <w:b/>
          <w:noProof/>
          <w:sz w:val="24"/>
        </w:rPr>
        <w:t xml:space="preserve"> – </w:t>
      </w:r>
      <w:r w:rsidR="00546A49">
        <w:rPr>
          <w:rFonts w:ascii="Arial" w:eastAsia="MS Mincho" w:hAnsi="Arial"/>
          <w:b/>
          <w:noProof/>
          <w:sz w:val="24"/>
        </w:rPr>
        <w:t>March 3</w:t>
      </w:r>
      <w:r w:rsidR="00410637">
        <w:rPr>
          <w:rFonts w:ascii="Arial" w:eastAsia="MS Mincho" w:hAnsi="Arial"/>
          <w:b/>
          <w:noProof/>
          <w:sz w:val="24"/>
        </w:rPr>
        <w:t>, 202</w:t>
      </w:r>
      <w:r w:rsidR="00546A49">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63FD7E6"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FD0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5C1150">
        <w:rPr>
          <w:sz w:val="24"/>
          <w:lang w:val="pt-PT"/>
        </w:rPr>
        <w:t>4.2.</w:t>
      </w:r>
      <w:r w:rsidR="009F36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AE6466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64A5D">
        <w:rPr>
          <w:rFonts w:ascii="Arial" w:hAnsi="Arial"/>
          <w:sz w:val="24"/>
        </w:rPr>
        <w:t>RRC aspects of LTM</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1C1C127" w14:textId="418D045A" w:rsidR="00F8787B" w:rsidRDefault="00555658" w:rsidP="00F8787B">
      <w:pPr>
        <w:spacing w:after="0"/>
      </w:pPr>
      <w:r>
        <w:t>The following agreements were achieved in the last meeting [</w:t>
      </w:r>
      <w:r w:rsidR="000C5A38">
        <w:t>1</w:t>
      </w:r>
      <w:r>
        <w:t>]</w:t>
      </w:r>
      <w:r w:rsidR="00F31D28">
        <w:t>:</w:t>
      </w:r>
    </w:p>
    <w:p w14:paraId="511BA7E5" w14:textId="77777777" w:rsidR="00F8787B" w:rsidRDefault="00F8787B" w:rsidP="00F8787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787B" w14:paraId="159AF6B8" w14:textId="77777777" w:rsidTr="00C209BC">
        <w:tc>
          <w:tcPr>
            <w:tcW w:w="9857" w:type="dxa"/>
            <w:shd w:val="clear" w:color="auto" w:fill="auto"/>
          </w:tcPr>
          <w:p w14:paraId="394009B3" w14:textId="77777777" w:rsidR="00123575" w:rsidRDefault="00123575" w:rsidP="007D6D10">
            <w:pPr>
              <w:rPr>
                <w:color w:val="000000"/>
                <w:lang w:val="en-US" w:eastAsia="zh-CN"/>
              </w:rPr>
            </w:pPr>
            <w:r w:rsidRPr="00123575">
              <w:rPr>
                <w:color w:val="000000"/>
                <w:lang w:val="en-US" w:eastAsia="zh-CN"/>
              </w:rPr>
              <w:t>RAN2 to confirm that the CellGroupConfig IE is (mandatory) needed within an LTM candidate cell configuration.</w:t>
            </w:r>
          </w:p>
          <w:p w14:paraId="3D0E5787" w14:textId="77777777" w:rsidR="00123575" w:rsidRPr="00123575" w:rsidRDefault="00123575" w:rsidP="00123575">
            <w:pPr>
              <w:rPr>
                <w:color w:val="000000"/>
                <w:lang w:val="en-US" w:eastAsia="zh-CN"/>
              </w:rPr>
            </w:pPr>
            <w:r w:rsidRPr="00123575">
              <w:rPr>
                <w:color w:val="000000"/>
                <w:lang w:val="en-US" w:eastAsia="zh-CN"/>
              </w:rPr>
              <w:t>The RadioBearerConfig IE can be optionally supported in an LTM candidate configuration</w:t>
            </w:r>
          </w:p>
          <w:p w14:paraId="6A40B174" w14:textId="5850EB4F" w:rsidR="00123575" w:rsidRPr="00123575" w:rsidRDefault="00123575" w:rsidP="00123575">
            <w:pPr>
              <w:rPr>
                <w:color w:val="000000"/>
                <w:lang w:val="en-US" w:eastAsia="zh-CN"/>
              </w:rPr>
            </w:pPr>
            <w:r w:rsidRPr="00123575">
              <w:rPr>
                <w:color w:val="000000"/>
                <w:lang w:val="en-US" w:eastAsia="zh-CN"/>
              </w:rPr>
              <w:t>The MeasConfig IE can be optionally supported in an LTM candidate configuration.</w:t>
            </w:r>
          </w:p>
          <w:p w14:paraId="4EE4A00F" w14:textId="0B8541AA" w:rsidR="00123575" w:rsidRPr="00123575" w:rsidRDefault="00123575" w:rsidP="00123575">
            <w:pPr>
              <w:rPr>
                <w:color w:val="000000"/>
                <w:lang w:val="en-US" w:eastAsia="zh-CN"/>
              </w:rPr>
            </w:pPr>
            <w:r w:rsidRPr="00123575">
              <w:rPr>
                <w:color w:val="000000"/>
                <w:lang w:val="en-US" w:eastAsia="zh-CN"/>
              </w:rPr>
              <w:t>The OtherConfig IE is not required to be part of the LTM candidate cell configuration.</w:t>
            </w:r>
          </w:p>
          <w:p w14:paraId="33DD2F06" w14:textId="0F36665A" w:rsidR="00123575" w:rsidRPr="00123575" w:rsidRDefault="00123575" w:rsidP="00123575">
            <w:pPr>
              <w:rPr>
                <w:color w:val="000000"/>
                <w:lang w:val="en-US" w:eastAsia="zh-CN"/>
              </w:rPr>
            </w:pPr>
            <w:r w:rsidRPr="00123575">
              <w:rPr>
                <w:color w:val="000000"/>
                <w:lang w:val="en-US" w:eastAsia="zh-CN"/>
              </w:rPr>
              <w:t>The LTM candidate cell configuration should be designed as a To AddMod/ToRelease structure.</w:t>
            </w:r>
          </w:p>
          <w:p w14:paraId="4761CF46" w14:textId="07209C44" w:rsidR="00123575" w:rsidRDefault="00123575" w:rsidP="00123575">
            <w:pPr>
              <w:rPr>
                <w:color w:val="000000"/>
                <w:lang w:val="en-US" w:eastAsia="zh-CN"/>
              </w:rPr>
            </w:pPr>
            <w:r w:rsidRPr="00123575">
              <w:rPr>
                <w:color w:val="000000"/>
                <w:lang w:val="en-US" w:eastAsia="zh-CN"/>
              </w:rPr>
              <w:t>The LTM candidate cell configuration ASN.1 structure comprises at least a CellGroupConfig IE and a configuration ID.</w:t>
            </w:r>
          </w:p>
          <w:p w14:paraId="091790A2" w14:textId="77777777" w:rsidR="00256605" w:rsidRPr="00123575" w:rsidRDefault="00256605" w:rsidP="00123575">
            <w:pPr>
              <w:rPr>
                <w:color w:val="000000"/>
                <w:lang w:val="en-US" w:eastAsia="zh-CN"/>
              </w:rPr>
            </w:pPr>
          </w:p>
          <w:p w14:paraId="0E597EF5" w14:textId="77777777" w:rsidR="00123575" w:rsidRPr="00C564AF" w:rsidRDefault="00123575" w:rsidP="00123575">
            <w:pPr>
              <w:rPr>
                <w:color w:val="000000"/>
                <w:u w:val="single"/>
                <w:lang w:val="en-US" w:eastAsia="zh-CN"/>
              </w:rPr>
            </w:pPr>
            <w:r w:rsidRPr="00C564AF">
              <w:rPr>
                <w:color w:val="000000"/>
                <w:u w:val="single"/>
                <w:lang w:val="en-US" w:eastAsia="zh-CN"/>
              </w:rPr>
              <w:t>On Delta Configuration</w:t>
            </w:r>
          </w:p>
          <w:p w14:paraId="1A683E45" w14:textId="7FE1B880" w:rsidR="00123575" w:rsidRPr="00123575" w:rsidRDefault="00123575" w:rsidP="00123575">
            <w:pPr>
              <w:rPr>
                <w:color w:val="000000"/>
                <w:lang w:val="en-US" w:eastAsia="zh-CN"/>
              </w:rPr>
            </w:pPr>
            <w:r w:rsidRPr="00123575">
              <w:rPr>
                <w:color w:val="000000"/>
                <w:lang w:val="en-US" w:eastAsia="zh-CN"/>
              </w:rPr>
              <w:t>A UE stores the reference configuration as a separate configuration.</w:t>
            </w:r>
          </w:p>
          <w:p w14:paraId="3CB04216" w14:textId="46CC8127" w:rsidR="00770F06" w:rsidRDefault="00123575" w:rsidP="00770F06">
            <w:pPr>
              <w:rPr>
                <w:color w:val="000000"/>
                <w:lang w:val="en-US" w:eastAsia="zh-CN"/>
              </w:rPr>
            </w:pPr>
            <w:r w:rsidRPr="00123575">
              <w:rPr>
                <w:color w:val="000000"/>
                <w:lang w:val="en-US" w:eastAsia="zh-CN"/>
              </w:rPr>
              <w:t>The reference configuration is managed separately</w:t>
            </w:r>
          </w:p>
          <w:p w14:paraId="2E8388B7" w14:textId="77777777" w:rsidR="00256605" w:rsidRDefault="00256605" w:rsidP="00770F06">
            <w:pPr>
              <w:rPr>
                <w:color w:val="000000"/>
                <w:lang w:val="en-US" w:eastAsia="zh-CN"/>
              </w:rPr>
            </w:pPr>
          </w:p>
          <w:p w14:paraId="220A28D5" w14:textId="262A37ED" w:rsidR="00770F06" w:rsidRPr="00770F06" w:rsidRDefault="00770F06" w:rsidP="00770F06">
            <w:pPr>
              <w:rPr>
                <w:color w:val="000000"/>
                <w:u w:val="single"/>
                <w:lang w:val="en-US" w:eastAsia="zh-CN"/>
              </w:rPr>
            </w:pPr>
            <w:r w:rsidRPr="00770F06">
              <w:rPr>
                <w:color w:val="000000"/>
                <w:u w:val="single"/>
                <w:lang w:val="en-US" w:eastAsia="zh-CN"/>
              </w:rPr>
              <w:t xml:space="preserve">ON the determination of whether to reset L2: two options on the table: </w:t>
            </w:r>
          </w:p>
          <w:p w14:paraId="7ACD46FF" w14:textId="77777777" w:rsidR="00770F06" w:rsidRPr="00770F06" w:rsidRDefault="00770F06" w:rsidP="00770F06">
            <w:pPr>
              <w:rPr>
                <w:color w:val="000000"/>
                <w:lang w:val="en-US" w:eastAsia="zh-CN"/>
              </w:rPr>
            </w:pPr>
            <w:r w:rsidRPr="00770F06">
              <w:rPr>
                <w:color w:val="000000"/>
                <w:lang w:val="en-US" w:eastAsia="zh-CN"/>
              </w:rPr>
              <w:t>1.</w:t>
            </w:r>
            <w:r w:rsidRPr="00770F06">
              <w:rPr>
                <w:color w:val="000000"/>
                <w:lang w:val="en-US" w:eastAsia="zh-CN"/>
              </w:rPr>
              <w:tab/>
              <w:t>The UE determines whether the switch is intra DU or inter DU and the follows different rule or configuration for these two cases which controls whether to reset or not reset. Determination could be based on configuration (</w:t>
            </w:r>
            <w:proofErr w:type="gramStart"/>
            <w:r w:rsidRPr="00770F06">
              <w:rPr>
                <w:color w:val="000000"/>
                <w:lang w:val="en-US" w:eastAsia="zh-CN"/>
              </w:rPr>
              <w:t>e.g.</w:t>
            </w:r>
            <w:proofErr w:type="gramEnd"/>
            <w:r w:rsidRPr="00770F06">
              <w:rPr>
                <w:color w:val="000000"/>
                <w:lang w:val="en-US" w:eastAsia="zh-CN"/>
              </w:rPr>
              <w:t xml:space="preserve"> of a DU ID, cell group id etc)</w:t>
            </w:r>
          </w:p>
          <w:p w14:paraId="227C4CCC" w14:textId="302999C0" w:rsidR="00770F06" w:rsidRPr="007D6D10" w:rsidRDefault="00770F06" w:rsidP="00770F06">
            <w:pPr>
              <w:rPr>
                <w:color w:val="000000"/>
                <w:lang w:val="en-US" w:eastAsia="zh-CN"/>
              </w:rPr>
            </w:pPr>
            <w:r w:rsidRPr="00770F06">
              <w:rPr>
                <w:color w:val="000000"/>
                <w:lang w:val="en-US" w:eastAsia="zh-CN"/>
              </w:rPr>
              <w:t>2.</w:t>
            </w:r>
            <w:r w:rsidRPr="00770F06">
              <w:rPr>
                <w:color w:val="000000"/>
                <w:lang w:val="en-US" w:eastAsia="zh-CN"/>
              </w:rPr>
              <w:tab/>
              <w:t>The UE receives command to reset or not reset by Mac CE.</w:t>
            </w:r>
          </w:p>
        </w:tc>
      </w:tr>
    </w:tbl>
    <w:p w14:paraId="22CE1867" w14:textId="4993A44A" w:rsidR="00342F8F" w:rsidRDefault="00342F8F" w:rsidP="005B6108">
      <w:pPr>
        <w:spacing w:after="0"/>
      </w:pPr>
    </w:p>
    <w:p w14:paraId="5BC31CDF" w14:textId="10525006" w:rsidR="00BC0337" w:rsidRDefault="00BC0337" w:rsidP="00BC0337">
      <w:pPr>
        <w:spacing w:after="0"/>
      </w:pPr>
      <w:r>
        <w:t>The following agreements were achieved in the RAN2-119bis-e meeting [2]:</w:t>
      </w:r>
    </w:p>
    <w:p w14:paraId="67378800" w14:textId="77777777" w:rsidR="00BC0337" w:rsidRDefault="00BC0337" w:rsidP="00BC033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C0337" w14:paraId="04A220D0" w14:textId="77777777" w:rsidTr="0045005F">
        <w:tc>
          <w:tcPr>
            <w:tcW w:w="9857" w:type="dxa"/>
            <w:shd w:val="clear" w:color="auto" w:fill="auto"/>
          </w:tcPr>
          <w:p w14:paraId="18E65DAA" w14:textId="793DEA46" w:rsidR="005F39B7" w:rsidRDefault="005F39B7" w:rsidP="00123ED1">
            <w:pPr>
              <w:rPr>
                <w:color w:val="000000"/>
                <w:lang w:val="en-US" w:eastAsia="zh-CN"/>
              </w:rPr>
            </w:pPr>
            <w:r w:rsidRPr="007D6D10">
              <w:rPr>
                <w:color w:val="000000"/>
                <w:lang w:val="en-US" w:eastAsia="zh-CN"/>
              </w:rPr>
              <w:t>Use the term “Subsequent” LTM for the case when cell switch between L1/L2 mobility candidates is done without RRC reconfiguration in between.</w:t>
            </w:r>
          </w:p>
          <w:p w14:paraId="5CB99848" w14:textId="075D1474" w:rsidR="00123ED1" w:rsidRPr="007D6D10" w:rsidRDefault="00123ED1" w:rsidP="00123ED1">
            <w:pPr>
              <w:rPr>
                <w:color w:val="000000"/>
                <w:lang w:val="en-US" w:eastAsia="zh-CN"/>
              </w:rPr>
            </w:pPr>
            <w:r w:rsidRPr="007D6D10">
              <w:rPr>
                <w:color w:val="000000"/>
                <w:lang w:val="en-US" w:eastAsia="zh-CN"/>
              </w:rPr>
              <w:t>No security update support in Rel-18 with L1/L2 based mobility.</w:t>
            </w:r>
          </w:p>
          <w:p w14:paraId="5713F060" w14:textId="77777777" w:rsidR="00123ED1" w:rsidRPr="007D6D10" w:rsidRDefault="00123ED1" w:rsidP="00123ED1">
            <w:pPr>
              <w:rPr>
                <w:color w:val="000000"/>
                <w:lang w:val="en-US" w:eastAsia="zh-CN"/>
              </w:rPr>
            </w:pPr>
            <w:r w:rsidRPr="007D6D10">
              <w:rPr>
                <w:color w:val="000000"/>
                <w:lang w:val="en-US" w:eastAsia="zh-CN"/>
              </w:rPr>
              <w:t xml:space="preserve">FFS whether ASN.1 </w:t>
            </w:r>
            <w:proofErr w:type="gramStart"/>
            <w:r w:rsidRPr="007D6D10">
              <w:rPr>
                <w:color w:val="000000"/>
                <w:lang w:val="en-US" w:eastAsia="zh-CN"/>
              </w:rPr>
              <w:t>decoding</w:t>
            </w:r>
            <w:proofErr w:type="gramEnd"/>
            <w:r w:rsidRPr="007D6D10">
              <w:rPr>
                <w:color w:val="000000"/>
                <w:lang w:val="en-US" w:eastAsia="zh-CN"/>
              </w:rPr>
              <w:t xml:space="preserve"> and validity/compliance check of candidate cell configuration are performed upon reception of the candidate cells configuration. FFS if this need to be specified.</w:t>
            </w:r>
          </w:p>
          <w:p w14:paraId="24DA3B9A" w14:textId="77777777" w:rsidR="001876E7" w:rsidRPr="007D6D10" w:rsidRDefault="001876E7" w:rsidP="001876E7">
            <w:pPr>
              <w:rPr>
                <w:color w:val="000000"/>
                <w:lang w:val="en-US" w:eastAsia="zh-CN"/>
              </w:rPr>
            </w:pPr>
            <w:r w:rsidRPr="007D6D10">
              <w:rPr>
                <w:color w:val="000000"/>
                <w:lang w:val="en-US" w:eastAsia="zh-CN"/>
              </w:rPr>
              <w:t>RAN2 continues the discussion on the RRC models by focusing on Model 1 and Model 2 and stage-3 details.</w:t>
            </w:r>
          </w:p>
          <w:p w14:paraId="632D4661" w14:textId="77777777" w:rsidR="001876E7" w:rsidRPr="007D6D10" w:rsidRDefault="001876E7" w:rsidP="001876E7">
            <w:pPr>
              <w:pStyle w:val="ListParagraph"/>
              <w:numPr>
                <w:ilvl w:val="0"/>
                <w:numId w:val="28"/>
              </w:numPr>
              <w:rPr>
                <w:color w:val="000000"/>
                <w:lang w:val="en-US" w:eastAsia="zh-CN"/>
              </w:rPr>
            </w:pPr>
            <w:r w:rsidRPr="007D6D10">
              <w:rPr>
                <w:color w:val="000000"/>
                <w:lang w:val="en-US" w:eastAsia="zh-CN"/>
              </w:rPr>
              <w:t>Model 1: One RRCReconfiguration message (or FFS RRCReconfiguration IEs) for each candidate target configuration</w:t>
            </w:r>
          </w:p>
          <w:p w14:paraId="5AF1E35C" w14:textId="77777777" w:rsidR="001876E7" w:rsidRDefault="001876E7" w:rsidP="001876E7">
            <w:pPr>
              <w:pStyle w:val="ListParagraph"/>
              <w:numPr>
                <w:ilvl w:val="0"/>
                <w:numId w:val="28"/>
              </w:numPr>
              <w:rPr>
                <w:color w:val="000000"/>
                <w:lang w:val="en-US" w:eastAsia="zh-CN"/>
              </w:rPr>
            </w:pPr>
            <w:r w:rsidRPr="007D6D10">
              <w:rPr>
                <w:color w:val="000000"/>
                <w:lang w:val="en-US" w:eastAsia="zh-CN"/>
              </w:rPr>
              <w:t>Model 2: One CellGroupConfig IE (FFS additional IEs) for each candidate target configuration</w:t>
            </w:r>
          </w:p>
          <w:p w14:paraId="143E8701" w14:textId="77777777" w:rsidR="00DF39F9" w:rsidRPr="007D6D10" w:rsidRDefault="00DF39F9" w:rsidP="00DF39F9">
            <w:pPr>
              <w:rPr>
                <w:color w:val="000000"/>
                <w:lang w:val="en-US" w:eastAsia="zh-CN"/>
              </w:rPr>
            </w:pPr>
            <w:r w:rsidRPr="007D6D10">
              <w:rPr>
                <w:color w:val="000000"/>
                <w:lang w:val="en-US" w:eastAsia="zh-CN"/>
              </w:rPr>
              <w:lastRenderedPageBreak/>
              <w:t>RAN2 assumes that sequential L1L2 cell change between Candidates without RRC reconfiguration can be supported.</w:t>
            </w:r>
          </w:p>
          <w:p w14:paraId="49FE1BCC" w14:textId="7E899FB1" w:rsidR="00727D28" w:rsidRDefault="00727D28" w:rsidP="0045005F">
            <w:pPr>
              <w:rPr>
                <w:color w:val="000000"/>
                <w:lang w:val="en-US" w:eastAsia="zh-CN"/>
              </w:rPr>
            </w:pPr>
            <w:r w:rsidRPr="007D6D10">
              <w:rPr>
                <w:color w:val="000000"/>
                <w:lang w:val="en-US" w:eastAsia="zh-CN"/>
              </w:rPr>
              <w:t xml:space="preserve">For L1L2 mobility will support that candidate configurations are delta configurations on top of a reference configuration. FFS if the reference configuration is a separate reference configuration or </w:t>
            </w:r>
            <w:proofErr w:type="gramStart"/>
            <w:r w:rsidRPr="007D6D10">
              <w:rPr>
                <w:color w:val="000000"/>
                <w:lang w:val="en-US" w:eastAsia="zh-CN"/>
              </w:rPr>
              <w:t>e.g.</w:t>
            </w:r>
            <w:proofErr w:type="gramEnd"/>
            <w:r w:rsidRPr="007D6D10">
              <w:rPr>
                <w:color w:val="000000"/>
                <w:lang w:val="en-US" w:eastAsia="zh-CN"/>
              </w:rPr>
              <w:t xml:space="preserve"> the current configuration.</w:t>
            </w:r>
          </w:p>
          <w:p w14:paraId="15E4C68F" w14:textId="4449458D" w:rsidR="00BC0337" w:rsidRPr="007D6D10" w:rsidRDefault="007B09F2" w:rsidP="0045005F">
            <w:pPr>
              <w:rPr>
                <w:color w:val="000000"/>
                <w:lang w:val="en-US" w:eastAsia="zh-CN"/>
              </w:rPr>
            </w:pPr>
            <w:r w:rsidRPr="007D6D10">
              <w:rPr>
                <w:color w:val="000000"/>
                <w:lang w:val="en-US" w:eastAsia="zh-CN"/>
              </w:rPr>
              <w:t>For L1L2 mobility, Target Pcell/SCell can be current SCell/PCell, i.e., current SCell/PCell can be configured as candidates.</w:t>
            </w:r>
          </w:p>
        </w:tc>
      </w:tr>
    </w:tbl>
    <w:p w14:paraId="32CF74DD" w14:textId="77777777" w:rsidR="00BC0337" w:rsidRDefault="00BC0337" w:rsidP="005B6108">
      <w:pPr>
        <w:spacing w:after="0"/>
      </w:pPr>
    </w:p>
    <w:p w14:paraId="5C9949EC" w14:textId="73E0E1D7" w:rsidR="00431E48" w:rsidRPr="00320A6B" w:rsidRDefault="00E73BB1" w:rsidP="005B6108">
      <w:pPr>
        <w:spacing w:after="0"/>
      </w:pPr>
      <w:r>
        <w:t xml:space="preserve">This contribution discusses </w:t>
      </w:r>
      <w:r w:rsidR="00155D67">
        <w:t xml:space="preserve">RRC </w:t>
      </w:r>
      <w:r w:rsidR="00B154E0">
        <w:t>modelling,</w:t>
      </w:r>
      <w:r w:rsidR="00B249C6">
        <w:t xml:space="preserve"> delta configuration, and L2 reset during LTM.</w:t>
      </w:r>
    </w:p>
    <w:p w14:paraId="05C6543A" w14:textId="10F9F991" w:rsidR="00B923E3" w:rsidRDefault="00CD4C7B" w:rsidP="004E5D6F">
      <w:pPr>
        <w:pStyle w:val="Heading1"/>
      </w:pPr>
      <w:r w:rsidRPr="00320A6B">
        <w:t>2</w:t>
      </w:r>
      <w:r w:rsidRPr="00320A6B">
        <w:tab/>
      </w:r>
      <w:r w:rsidR="00E1081F">
        <w:t>Discussion</w:t>
      </w:r>
    </w:p>
    <w:p w14:paraId="2AFD0144" w14:textId="4DC82C3C" w:rsidR="0000697F" w:rsidRDefault="0000697F" w:rsidP="0000697F">
      <w:pPr>
        <w:pStyle w:val="Heading2"/>
      </w:pPr>
      <w:r>
        <w:t>2.1</w:t>
      </w:r>
      <w:r>
        <w:tab/>
      </w:r>
      <w:r w:rsidR="0008350E">
        <w:t>RRC Modelling</w:t>
      </w:r>
      <w:r w:rsidR="00AF4D11">
        <w:t xml:space="preserve"> </w:t>
      </w:r>
    </w:p>
    <w:p w14:paraId="443E307A" w14:textId="7B17689E" w:rsidR="002F7845" w:rsidRDefault="00841E56" w:rsidP="002F7845">
      <w:r>
        <w:t>T</w:t>
      </w:r>
      <w:r w:rsidR="002F7845">
        <w:t xml:space="preserve">wo RRC models for configuring the candidate </w:t>
      </w:r>
      <w:r>
        <w:t xml:space="preserve">LTM </w:t>
      </w:r>
      <w:r w:rsidR="002F7845">
        <w:t>cells</w:t>
      </w:r>
      <w:r>
        <w:t xml:space="preserve"> are considered</w:t>
      </w:r>
      <w:r w:rsidR="002F7845">
        <w:t>:</w:t>
      </w:r>
    </w:p>
    <w:p w14:paraId="20D67F21" w14:textId="77777777" w:rsidR="002F7845" w:rsidRPr="007D6D10" w:rsidRDefault="002F7845" w:rsidP="002F7845">
      <w:pPr>
        <w:pStyle w:val="ListParagraph"/>
        <w:numPr>
          <w:ilvl w:val="0"/>
          <w:numId w:val="28"/>
        </w:numPr>
        <w:rPr>
          <w:color w:val="000000"/>
          <w:lang w:val="en-US" w:eastAsia="zh-CN"/>
        </w:rPr>
      </w:pPr>
      <w:r>
        <w:t xml:space="preserve">Model 1: </w:t>
      </w:r>
      <w:r w:rsidRPr="007D6D10">
        <w:rPr>
          <w:color w:val="000000"/>
          <w:lang w:val="en-US" w:eastAsia="zh-CN"/>
        </w:rPr>
        <w:t>One RRCReconfiguration message (or FFS RRCReconfiguration IEs) for each candidate target configuration</w:t>
      </w:r>
    </w:p>
    <w:p w14:paraId="5FD7E16A" w14:textId="77777777" w:rsidR="002F7845" w:rsidRDefault="002F7845" w:rsidP="002F7845">
      <w:pPr>
        <w:pStyle w:val="ListParagraph"/>
        <w:numPr>
          <w:ilvl w:val="0"/>
          <w:numId w:val="28"/>
        </w:numPr>
        <w:rPr>
          <w:color w:val="000000"/>
          <w:lang w:val="en-US" w:eastAsia="zh-CN"/>
        </w:rPr>
      </w:pPr>
      <w:r w:rsidRPr="007D6D10">
        <w:rPr>
          <w:color w:val="000000"/>
          <w:lang w:val="en-US" w:eastAsia="zh-CN"/>
        </w:rPr>
        <w:t xml:space="preserve">Model 2: One </w:t>
      </w:r>
      <w:bookmarkStart w:id="0" w:name="_Hlk118110773"/>
      <w:r w:rsidRPr="007D6D10">
        <w:rPr>
          <w:color w:val="000000"/>
          <w:lang w:val="en-US" w:eastAsia="zh-CN"/>
        </w:rPr>
        <w:t xml:space="preserve">CellGroupConfig IE </w:t>
      </w:r>
      <w:bookmarkEnd w:id="0"/>
      <w:r w:rsidRPr="007D6D10">
        <w:rPr>
          <w:color w:val="000000"/>
          <w:lang w:val="en-US" w:eastAsia="zh-CN"/>
        </w:rPr>
        <w:t>(FFS additional IEs) for each candidate target configuration</w:t>
      </w:r>
    </w:p>
    <w:p w14:paraId="13213353" w14:textId="4442B446" w:rsidR="00A6763F" w:rsidRDefault="00841E56" w:rsidP="002F7845">
      <w:pPr>
        <w:rPr>
          <w:color w:val="000000"/>
          <w:lang w:val="en-US" w:eastAsia="zh-CN"/>
        </w:rPr>
      </w:pPr>
      <w:r>
        <w:t xml:space="preserve">RAN2#120 agreed that </w:t>
      </w:r>
      <w:r w:rsidR="00F944BA" w:rsidRPr="00123575">
        <w:rPr>
          <w:color w:val="000000"/>
          <w:lang w:val="en-US" w:eastAsia="zh-CN"/>
        </w:rPr>
        <w:t>RadioBearerConfig</w:t>
      </w:r>
      <w:r w:rsidR="00F944BA">
        <w:rPr>
          <w:color w:val="000000"/>
          <w:lang w:val="en-US" w:eastAsia="zh-CN"/>
        </w:rPr>
        <w:t xml:space="preserve"> IE</w:t>
      </w:r>
      <w:r w:rsidR="00E14E30">
        <w:rPr>
          <w:color w:val="000000"/>
          <w:lang w:val="en-US" w:eastAsia="zh-CN"/>
        </w:rPr>
        <w:t xml:space="preserve"> and </w:t>
      </w:r>
      <w:r w:rsidR="00F944BA" w:rsidRPr="00123575">
        <w:rPr>
          <w:color w:val="000000"/>
          <w:lang w:val="en-US" w:eastAsia="zh-CN"/>
        </w:rPr>
        <w:t>MeasConfig</w:t>
      </w:r>
      <w:r w:rsidR="00F944BA">
        <w:rPr>
          <w:color w:val="000000"/>
          <w:lang w:val="en-US" w:eastAsia="zh-CN"/>
        </w:rPr>
        <w:t xml:space="preserve"> IE</w:t>
      </w:r>
      <w:r w:rsidR="00E14E30">
        <w:rPr>
          <w:color w:val="000000"/>
          <w:lang w:val="en-US" w:eastAsia="zh-CN"/>
        </w:rPr>
        <w:t xml:space="preserve"> </w:t>
      </w:r>
      <w:r w:rsidR="006116AE">
        <w:rPr>
          <w:color w:val="000000"/>
          <w:lang w:val="en-US" w:eastAsia="zh-CN"/>
        </w:rPr>
        <w:t xml:space="preserve">may optionally be included together with the mandatory </w:t>
      </w:r>
      <w:r w:rsidR="006116AE" w:rsidRPr="00123575">
        <w:rPr>
          <w:color w:val="000000"/>
          <w:lang w:val="en-US" w:eastAsia="zh-CN"/>
        </w:rPr>
        <w:t>CellGroupConfig</w:t>
      </w:r>
      <w:r w:rsidR="006116AE">
        <w:rPr>
          <w:color w:val="000000"/>
          <w:lang w:val="en-US" w:eastAsia="zh-CN"/>
        </w:rPr>
        <w:t xml:space="preserve"> IE as part of </w:t>
      </w:r>
      <w:r w:rsidR="00CB22D7">
        <w:rPr>
          <w:color w:val="000000"/>
          <w:lang w:val="en-US" w:eastAsia="zh-CN"/>
        </w:rPr>
        <w:t>the configuration of the candidate LTM cell</w:t>
      </w:r>
      <w:r w:rsidR="00A6763F">
        <w:rPr>
          <w:color w:val="000000"/>
          <w:lang w:val="en-US" w:eastAsia="zh-CN"/>
        </w:rPr>
        <w:t>:</w:t>
      </w:r>
      <w:r w:rsidR="00CB22D7">
        <w:rPr>
          <w:color w:val="000000"/>
          <w:lang w:val="en-US" w:eastAsia="zh-CN"/>
        </w:rPr>
        <w:t xml:space="preserve"> </w:t>
      </w:r>
    </w:p>
    <w:p w14:paraId="3F45FC24" w14:textId="742F8562" w:rsidR="00A6763F" w:rsidRPr="00A6763F" w:rsidRDefault="00A6763F" w:rsidP="00A6763F">
      <w:pPr>
        <w:pStyle w:val="ListParagraph"/>
        <w:numPr>
          <w:ilvl w:val="0"/>
          <w:numId w:val="28"/>
        </w:numPr>
      </w:pPr>
      <w:r w:rsidRPr="00A6763F">
        <w:rPr>
          <w:color w:val="000000"/>
          <w:lang w:val="en-US" w:eastAsia="zh-CN"/>
        </w:rPr>
        <w:t>If Model 1 is used, s</w:t>
      </w:r>
      <w:r w:rsidR="00CB22D7" w:rsidRPr="00A6763F">
        <w:rPr>
          <w:color w:val="000000"/>
          <w:lang w:val="en-US" w:eastAsia="zh-CN"/>
        </w:rPr>
        <w:t xml:space="preserve">uch IEs </w:t>
      </w:r>
      <w:r w:rsidR="0042380E">
        <w:rPr>
          <w:color w:val="000000"/>
          <w:lang w:val="en-US" w:eastAsia="zh-CN"/>
        </w:rPr>
        <w:t>may</w:t>
      </w:r>
      <w:r w:rsidR="00CB22D7" w:rsidRPr="00A6763F">
        <w:rPr>
          <w:color w:val="000000"/>
          <w:lang w:val="en-US" w:eastAsia="zh-CN"/>
        </w:rPr>
        <w:t xml:space="preserve"> </w:t>
      </w:r>
      <w:r w:rsidRPr="00A6763F">
        <w:rPr>
          <w:color w:val="000000"/>
          <w:lang w:val="en-US" w:eastAsia="zh-CN"/>
        </w:rPr>
        <w:t xml:space="preserve">already </w:t>
      </w:r>
      <w:r w:rsidR="0042380E">
        <w:rPr>
          <w:color w:val="000000"/>
          <w:lang w:val="en-US" w:eastAsia="zh-CN"/>
        </w:rPr>
        <w:t xml:space="preserve">be </w:t>
      </w:r>
      <w:r w:rsidR="00CB22D7" w:rsidRPr="00A6763F">
        <w:rPr>
          <w:color w:val="000000"/>
          <w:lang w:val="en-US" w:eastAsia="zh-CN"/>
        </w:rPr>
        <w:t>carried in</w:t>
      </w:r>
      <w:r>
        <w:rPr>
          <w:color w:val="000000"/>
          <w:lang w:val="en-US" w:eastAsia="zh-CN"/>
        </w:rPr>
        <w:t xml:space="preserve"> the RRCReconfiguration message</w:t>
      </w:r>
    </w:p>
    <w:p w14:paraId="6EE0002B" w14:textId="52A21EB1" w:rsidR="00841E56" w:rsidRDefault="00A6763F" w:rsidP="00A6763F">
      <w:pPr>
        <w:pStyle w:val="ListParagraph"/>
        <w:numPr>
          <w:ilvl w:val="0"/>
          <w:numId w:val="28"/>
        </w:numPr>
      </w:pPr>
      <w:r>
        <w:rPr>
          <w:color w:val="000000"/>
          <w:lang w:val="en-US" w:eastAsia="zh-CN"/>
        </w:rPr>
        <w:t xml:space="preserve">If Model 2 is used, </w:t>
      </w:r>
      <w:r w:rsidR="0042380E">
        <w:rPr>
          <w:color w:val="000000"/>
          <w:lang w:val="en-US" w:eastAsia="zh-CN"/>
        </w:rPr>
        <w:t>such IEs will have to be separately added to the CellGroupConfig IE</w:t>
      </w:r>
      <w:r w:rsidR="00CB22D7" w:rsidRPr="00A6763F">
        <w:rPr>
          <w:color w:val="000000"/>
          <w:lang w:val="en-US" w:eastAsia="zh-CN"/>
        </w:rPr>
        <w:t xml:space="preserve"> </w:t>
      </w:r>
    </w:p>
    <w:p w14:paraId="5B0A2B9F" w14:textId="1DD55FA5" w:rsidR="00646586" w:rsidRDefault="00646586" w:rsidP="002F7845">
      <w:r>
        <w:t xml:space="preserve">This shows that Model 1 is more adequate for modelling of the </w:t>
      </w:r>
      <w:r w:rsidR="000B3E5F">
        <w:t xml:space="preserve">LTM candidate configuration. Model 1 </w:t>
      </w:r>
      <w:r w:rsidR="00ED4EB6">
        <w:t>further provides more flexibility and future proofness compared to Model 2. Both models also have similar overhead given that most IEs in an RRC Reconfiguration message are optional.</w:t>
      </w:r>
    </w:p>
    <w:p w14:paraId="77EF83D5" w14:textId="1524B7BE" w:rsidR="002F7845" w:rsidRDefault="002F7845" w:rsidP="002F7845">
      <w:r>
        <w:t>Model 1 should therefore be supported.</w:t>
      </w:r>
    </w:p>
    <w:p w14:paraId="3AA18AE6" w14:textId="77777777" w:rsidR="002F7845" w:rsidRPr="005A37C3" w:rsidRDefault="002F7845" w:rsidP="002F7845">
      <w:pPr>
        <w:rPr>
          <w:b/>
          <w:bCs/>
        </w:rPr>
      </w:pPr>
      <w:r>
        <w:rPr>
          <w:b/>
          <w:bCs/>
        </w:rPr>
        <w:t xml:space="preserve">Proposal 1: Support RRC Model 1 – one </w:t>
      </w:r>
      <w:r>
        <w:rPr>
          <w:b/>
          <w:bCs/>
          <w:lang w:val="en-US"/>
        </w:rPr>
        <w:t>Reconfiguration message per candidate target configuration.</w:t>
      </w:r>
    </w:p>
    <w:p w14:paraId="670D1396" w14:textId="745A38B3" w:rsidR="005A37C3" w:rsidRPr="005A37C3" w:rsidRDefault="005A37C3" w:rsidP="005A37C3">
      <w:pPr>
        <w:rPr>
          <w:b/>
          <w:bCs/>
        </w:rPr>
      </w:pPr>
    </w:p>
    <w:p w14:paraId="75BD867F" w14:textId="5550CF37" w:rsidR="00E43FB6" w:rsidRDefault="00964B2B" w:rsidP="00964B2B">
      <w:pPr>
        <w:pStyle w:val="Heading2"/>
      </w:pPr>
      <w:r>
        <w:t>2.2</w:t>
      </w:r>
      <w:r>
        <w:tab/>
      </w:r>
      <w:r w:rsidR="005F1CCD">
        <w:t>Delta configuration</w:t>
      </w:r>
    </w:p>
    <w:p w14:paraId="0388D20E" w14:textId="3D46AF15" w:rsidR="00BA12DC" w:rsidRDefault="009C4A0D" w:rsidP="005A37C3">
      <w:r>
        <w:t xml:space="preserve">RAN2-119bis-e agreed that delta configuration will be supported for the candidate </w:t>
      </w:r>
      <w:r w:rsidR="00B05717">
        <w:t xml:space="preserve">LTM </w:t>
      </w:r>
      <w:r>
        <w:t>configurations on top of a reference configuration.</w:t>
      </w:r>
    </w:p>
    <w:p w14:paraId="41D1C72B" w14:textId="2F7FC549" w:rsidR="009C4A0D" w:rsidRDefault="007141C7" w:rsidP="005A37C3">
      <w:r>
        <w:t xml:space="preserve">RAN2-120 agreed </w:t>
      </w:r>
      <w:r w:rsidR="0012044C">
        <w:t xml:space="preserve">that </w:t>
      </w:r>
      <w:r>
        <w:t xml:space="preserve">a separate configuration is </w:t>
      </w:r>
      <w:r w:rsidR="00B1456E">
        <w:t>used for the reference configuration.</w:t>
      </w:r>
    </w:p>
    <w:p w14:paraId="1E8EDA1E" w14:textId="26B79C7A" w:rsidR="00B1456E" w:rsidRDefault="00CE0C45" w:rsidP="005A37C3">
      <w:pPr>
        <w:rPr>
          <w:color w:val="000000"/>
          <w:lang w:val="en-US" w:eastAsia="zh-CN"/>
        </w:rPr>
      </w:pPr>
      <w:r>
        <w:t xml:space="preserve">Whether </w:t>
      </w:r>
      <w:r w:rsidR="00083AB6">
        <w:t xml:space="preserve">RRC Model 1 or RRC Model 2 is used for the candidate LTM configuration, both models have the </w:t>
      </w:r>
      <w:r w:rsidR="00083AB6" w:rsidRPr="007D6D10">
        <w:rPr>
          <w:color w:val="000000"/>
          <w:lang w:val="en-US" w:eastAsia="zh-CN"/>
        </w:rPr>
        <w:t>CellGroupConfig</w:t>
      </w:r>
      <w:r w:rsidR="00083AB6">
        <w:rPr>
          <w:color w:val="000000"/>
          <w:lang w:val="en-US" w:eastAsia="zh-CN"/>
        </w:rPr>
        <w:t xml:space="preserve"> IE whi</w:t>
      </w:r>
      <w:r w:rsidR="008749EF">
        <w:rPr>
          <w:color w:val="000000"/>
          <w:lang w:val="en-US" w:eastAsia="zh-CN"/>
        </w:rPr>
        <w:t xml:space="preserve">ch comprises an </w:t>
      </w:r>
      <w:bookmarkStart w:id="1" w:name="_Hlk127342389"/>
      <w:r w:rsidR="00A432E2" w:rsidRPr="00A432E2">
        <w:rPr>
          <w:color w:val="000000"/>
          <w:lang w:val="en-US" w:eastAsia="zh-CN"/>
        </w:rPr>
        <w:t>SpCellConfig</w:t>
      </w:r>
      <w:r w:rsidR="00A432E2">
        <w:rPr>
          <w:color w:val="000000"/>
          <w:lang w:val="en-US" w:eastAsia="zh-CN"/>
        </w:rPr>
        <w:t xml:space="preserve"> IE </w:t>
      </w:r>
      <w:bookmarkEnd w:id="1"/>
      <w:r w:rsidR="00A432E2">
        <w:rPr>
          <w:color w:val="000000"/>
          <w:lang w:val="en-US" w:eastAsia="zh-CN"/>
        </w:rPr>
        <w:t xml:space="preserve">and zero or more </w:t>
      </w:r>
      <w:r w:rsidR="00A65426" w:rsidRPr="00A65426">
        <w:rPr>
          <w:color w:val="000000"/>
          <w:lang w:val="en-US" w:eastAsia="zh-CN"/>
        </w:rPr>
        <w:t>SCellConfig</w:t>
      </w:r>
      <w:r w:rsidR="00A65426">
        <w:rPr>
          <w:color w:val="000000"/>
          <w:lang w:val="en-US" w:eastAsia="zh-CN"/>
        </w:rPr>
        <w:t xml:space="preserve"> IEs. </w:t>
      </w:r>
      <w:r w:rsidR="0096307C">
        <w:rPr>
          <w:color w:val="000000"/>
          <w:lang w:val="en-US" w:eastAsia="zh-CN"/>
        </w:rPr>
        <w:t xml:space="preserve">Defining delta configuration for these IEs requires </w:t>
      </w:r>
      <w:r w:rsidR="0082734E">
        <w:rPr>
          <w:color w:val="000000"/>
          <w:lang w:val="en-US" w:eastAsia="zh-CN"/>
        </w:rPr>
        <w:t xml:space="preserve">that the reference configuration includes as well at least one reference </w:t>
      </w:r>
      <w:r w:rsidR="007163CB" w:rsidRPr="00A432E2">
        <w:rPr>
          <w:color w:val="000000"/>
          <w:lang w:val="en-US" w:eastAsia="zh-CN"/>
        </w:rPr>
        <w:t>SpCellConfig</w:t>
      </w:r>
      <w:r w:rsidR="007163CB">
        <w:rPr>
          <w:color w:val="000000"/>
          <w:lang w:val="en-US" w:eastAsia="zh-CN"/>
        </w:rPr>
        <w:t xml:space="preserve"> IE and zero or more reference </w:t>
      </w:r>
      <w:r w:rsidR="007163CB" w:rsidRPr="00A65426">
        <w:rPr>
          <w:color w:val="000000"/>
          <w:lang w:val="en-US" w:eastAsia="zh-CN"/>
        </w:rPr>
        <w:t>SCellConfig</w:t>
      </w:r>
      <w:r w:rsidR="007163CB">
        <w:rPr>
          <w:color w:val="000000"/>
          <w:lang w:val="en-US" w:eastAsia="zh-CN"/>
        </w:rPr>
        <w:t xml:space="preserve"> IEs.</w:t>
      </w:r>
    </w:p>
    <w:p w14:paraId="6CFAC65D" w14:textId="00E7B2F1" w:rsidR="007163CB" w:rsidRDefault="00F25EE0" w:rsidP="005A37C3">
      <w:pPr>
        <w:rPr>
          <w:b/>
          <w:bCs/>
          <w:color w:val="000000"/>
          <w:lang w:val="en-US" w:eastAsia="zh-CN"/>
        </w:rPr>
      </w:pPr>
      <w:r>
        <w:rPr>
          <w:b/>
          <w:bCs/>
          <w:color w:val="000000"/>
          <w:lang w:val="en-US" w:eastAsia="zh-CN"/>
        </w:rPr>
        <w:t>Proposal 2</w:t>
      </w:r>
      <w:r w:rsidR="00F36AA5">
        <w:rPr>
          <w:b/>
          <w:bCs/>
          <w:color w:val="000000"/>
          <w:lang w:val="en-US" w:eastAsia="zh-CN"/>
        </w:rPr>
        <w:t>a</w:t>
      </w:r>
      <w:r>
        <w:rPr>
          <w:b/>
          <w:bCs/>
          <w:color w:val="000000"/>
          <w:lang w:val="en-US" w:eastAsia="zh-CN"/>
        </w:rPr>
        <w:t xml:space="preserve">: The reference configuration used for delta signaling includes at least one reference </w:t>
      </w:r>
      <w:r w:rsidRPr="00F25EE0">
        <w:rPr>
          <w:b/>
          <w:bCs/>
          <w:color w:val="000000"/>
          <w:lang w:val="en-US" w:eastAsia="zh-CN"/>
        </w:rPr>
        <w:t>SpCellConfig IE</w:t>
      </w:r>
      <w:r>
        <w:rPr>
          <w:b/>
          <w:bCs/>
          <w:color w:val="000000"/>
          <w:lang w:val="en-US" w:eastAsia="zh-CN"/>
        </w:rPr>
        <w:t xml:space="preserve"> and zero or more reference </w:t>
      </w:r>
      <w:r w:rsidRPr="00F25EE0">
        <w:rPr>
          <w:b/>
          <w:bCs/>
          <w:color w:val="000000"/>
          <w:lang w:val="en-US" w:eastAsia="zh-CN"/>
        </w:rPr>
        <w:t>SCellConfig IEs.</w:t>
      </w:r>
    </w:p>
    <w:p w14:paraId="72A4FAC4" w14:textId="4FF3D5D5" w:rsidR="00F25EE0" w:rsidRPr="00112EF6" w:rsidRDefault="00EA4920" w:rsidP="005A37C3">
      <w:pPr>
        <w:rPr>
          <w:color w:val="000000"/>
          <w:lang w:val="en-US" w:eastAsia="zh-CN"/>
        </w:rPr>
      </w:pPr>
      <w:r>
        <w:rPr>
          <w:color w:val="000000"/>
          <w:lang w:val="en-US" w:eastAsia="zh-CN"/>
        </w:rPr>
        <w:t xml:space="preserve">Since the candidate </w:t>
      </w:r>
      <w:r w:rsidR="0087312B">
        <w:rPr>
          <w:color w:val="000000"/>
          <w:lang w:val="en-US" w:eastAsia="zh-CN"/>
        </w:rPr>
        <w:t xml:space="preserve">LTM cell configurations may be very different, using one reference </w:t>
      </w:r>
      <w:r w:rsidR="00AA4103">
        <w:rPr>
          <w:color w:val="000000"/>
          <w:lang w:val="en-US" w:eastAsia="zh-CN"/>
        </w:rPr>
        <w:t xml:space="preserve">cell </w:t>
      </w:r>
      <w:r w:rsidR="0087312B">
        <w:rPr>
          <w:color w:val="000000"/>
          <w:lang w:val="en-US" w:eastAsia="zh-CN"/>
        </w:rPr>
        <w:t>configuration may not be efficient for delta signaling</w:t>
      </w:r>
      <w:r w:rsidR="00865A5E">
        <w:rPr>
          <w:color w:val="000000"/>
          <w:lang w:val="en-US" w:eastAsia="zh-CN"/>
        </w:rPr>
        <w:t xml:space="preserve"> for all the candidate LTM cell configurations</w:t>
      </w:r>
      <w:r w:rsidR="0087312B">
        <w:rPr>
          <w:color w:val="000000"/>
          <w:lang w:val="en-US" w:eastAsia="zh-CN"/>
        </w:rPr>
        <w:t xml:space="preserve">. Thus, </w:t>
      </w:r>
      <w:r w:rsidR="0083544D">
        <w:rPr>
          <w:color w:val="000000"/>
          <w:lang w:val="en-US" w:eastAsia="zh-CN"/>
        </w:rPr>
        <w:t>multiple reference cell configurations</w:t>
      </w:r>
      <w:r w:rsidR="00341C10">
        <w:rPr>
          <w:color w:val="000000"/>
          <w:lang w:val="en-US" w:eastAsia="zh-CN"/>
        </w:rPr>
        <w:t xml:space="preserve"> should be supported.</w:t>
      </w:r>
    </w:p>
    <w:p w14:paraId="634789E3" w14:textId="547D92FC" w:rsidR="00356B8C" w:rsidRDefault="007C4942" w:rsidP="005A37C3">
      <w:pPr>
        <w:rPr>
          <w:b/>
          <w:bCs/>
        </w:rPr>
      </w:pPr>
      <w:r>
        <w:rPr>
          <w:b/>
          <w:bCs/>
        </w:rPr>
        <w:t xml:space="preserve">Proposal 2b: </w:t>
      </w:r>
      <w:r w:rsidR="00B61C42">
        <w:rPr>
          <w:b/>
          <w:bCs/>
        </w:rPr>
        <w:t>Different candidate LTM cell configurations may use different reference cell configurations for delta signaling.</w:t>
      </w:r>
    </w:p>
    <w:p w14:paraId="50F11D85" w14:textId="26030230" w:rsidR="00BF4F36" w:rsidRDefault="00CF0E9F" w:rsidP="005A37C3">
      <w:r>
        <w:t>RAN2#119bis</w:t>
      </w:r>
      <w:r w:rsidR="00A662C4">
        <w:t xml:space="preserve">-e agreed that </w:t>
      </w:r>
      <w:r w:rsidR="00842816">
        <w:t xml:space="preserve">a candidate LTM PCell may be a current serving SCell, and a candidate LTM SCell may be a current </w:t>
      </w:r>
      <w:r w:rsidR="00F72598">
        <w:t>serving PCell.</w:t>
      </w:r>
      <w:r w:rsidR="000F0743">
        <w:t xml:space="preserve"> This implies that a PCell of one candidate LTM cell group </w:t>
      </w:r>
      <w:r w:rsidR="00CC02B0">
        <w:t>be the same as an</w:t>
      </w:r>
      <w:r w:rsidR="000F0743">
        <w:t xml:space="preserve"> SCell of another candidate LTM cell group.</w:t>
      </w:r>
    </w:p>
    <w:p w14:paraId="7DA79DDB" w14:textId="12E701DD" w:rsidR="00366075" w:rsidRDefault="008A7EE5" w:rsidP="005A37C3">
      <w:pPr>
        <w:rPr>
          <w:b/>
          <w:bCs/>
        </w:rPr>
      </w:pPr>
      <w:r>
        <w:rPr>
          <w:b/>
          <w:bCs/>
        </w:rPr>
        <w:lastRenderedPageBreak/>
        <w:t>Observation 1</w:t>
      </w:r>
      <w:r w:rsidR="00617C65">
        <w:rPr>
          <w:b/>
          <w:bCs/>
        </w:rPr>
        <w:t>a</w:t>
      </w:r>
      <w:r>
        <w:rPr>
          <w:b/>
          <w:bCs/>
        </w:rPr>
        <w:t xml:space="preserve">: A PCell of one candidate LTM cell group and an SCell of another candidate LTM cell group </w:t>
      </w:r>
      <w:r w:rsidR="00366075">
        <w:rPr>
          <w:b/>
          <w:bCs/>
        </w:rPr>
        <w:t>may be the same.</w:t>
      </w:r>
    </w:p>
    <w:p w14:paraId="5325773E" w14:textId="77777777" w:rsidR="00AD2ECF" w:rsidRDefault="00956C71" w:rsidP="005A37C3">
      <w:r>
        <w:t xml:space="preserve">For such LTM scenarios, using a common reference cell configuration to define </w:t>
      </w:r>
      <w:r w:rsidR="008760F1">
        <w:t xml:space="preserve">the respective RRC configurations of the </w:t>
      </w:r>
      <w:r w:rsidR="00AD2ECF">
        <w:t>cell in either cell group is the most efficient.</w:t>
      </w:r>
    </w:p>
    <w:p w14:paraId="38817B67" w14:textId="1019B654" w:rsidR="00322248" w:rsidRDefault="00137211" w:rsidP="005A37C3">
      <w:pPr>
        <w:rPr>
          <w:b/>
          <w:bCs/>
        </w:rPr>
      </w:pPr>
      <w:r>
        <w:rPr>
          <w:b/>
          <w:bCs/>
        </w:rPr>
        <w:t xml:space="preserve">Observation </w:t>
      </w:r>
      <w:r w:rsidR="00617C65">
        <w:rPr>
          <w:b/>
          <w:bCs/>
        </w:rPr>
        <w:t>1b</w:t>
      </w:r>
      <w:r>
        <w:rPr>
          <w:b/>
          <w:bCs/>
        </w:rPr>
        <w:t xml:space="preserve">: </w:t>
      </w:r>
      <w:r w:rsidR="00640FA0">
        <w:rPr>
          <w:b/>
          <w:bCs/>
        </w:rPr>
        <w:t xml:space="preserve">If </w:t>
      </w:r>
      <w:r w:rsidR="00A11292">
        <w:rPr>
          <w:b/>
          <w:bCs/>
        </w:rPr>
        <w:t>the same</w:t>
      </w:r>
      <w:r w:rsidR="00640FA0">
        <w:rPr>
          <w:b/>
          <w:bCs/>
        </w:rPr>
        <w:t xml:space="preserve"> cell is a PCell in one candidate LTM cell group and an SCell in another candidate LTM cell group, using a common reference cell configuration </w:t>
      </w:r>
      <w:r w:rsidR="00270C1D">
        <w:rPr>
          <w:b/>
          <w:bCs/>
        </w:rPr>
        <w:t>to configure</w:t>
      </w:r>
      <w:r w:rsidR="00640FA0">
        <w:rPr>
          <w:b/>
          <w:bCs/>
        </w:rPr>
        <w:t xml:space="preserve"> delta signaling</w:t>
      </w:r>
      <w:r>
        <w:rPr>
          <w:b/>
          <w:bCs/>
        </w:rPr>
        <w:t xml:space="preserve"> </w:t>
      </w:r>
      <w:r w:rsidR="00270C1D">
        <w:rPr>
          <w:b/>
          <w:bCs/>
        </w:rPr>
        <w:t>for this cell is the most efficient.</w:t>
      </w:r>
    </w:p>
    <w:p w14:paraId="6378AF76" w14:textId="77777777" w:rsidR="002024C8" w:rsidRDefault="002024C8" w:rsidP="005A37C3">
      <w:r>
        <w:t>Consequently</w:t>
      </w:r>
      <w:r w:rsidR="004A56F5">
        <w:t>,</w:t>
      </w:r>
      <w:r>
        <w:t xml:space="preserve"> configuring a PCell with respect to a reference SCell configuration and configuring an SCell with respect to a reference SpCell configuration should be supported.</w:t>
      </w:r>
    </w:p>
    <w:p w14:paraId="27146B50" w14:textId="2153834E" w:rsidR="008B4F4A" w:rsidRDefault="008B4F4A" w:rsidP="008B4F4A">
      <w:pPr>
        <w:rPr>
          <w:b/>
          <w:bCs/>
        </w:rPr>
      </w:pPr>
      <w:r>
        <w:rPr>
          <w:b/>
          <w:bCs/>
        </w:rPr>
        <w:t xml:space="preserve">Proposal 2c: An SpCellConfig IE may use delta signaling wrt to </w:t>
      </w:r>
      <w:r w:rsidR="007122D0">
        <w:rPr>
          <w:b/>
          <w:bCs/>
        </w:rPr>
        <w:t xml:space="preserve">either </w:t>
      </w:r>
      <w:r>
        <w:rPr>
          <w:b/>
          <w:bCs/>
        </w:rPr>
        <w:t>a reference SpCellConfig IE or a reference SCellConfig IE.</w:t>
      </w:r>
    </w:p>
    <w:p w14:paraId="5DF99D54" w14:textId="268CB48B" w:rsidR="008B4F4A" w:rsidRDefault="008B4F4A" w:rsidP="008B4F4A">
      <w:pPr>
        <w:rPr>
          <w:b/>
          <w:bCs/>
        </w:rPr>
      </w:pPr>
      <w:r>
        <w:rPr>
          <w:b/>
          <w:bCs/>
        </w:rPr>
        <w:t xml:space="preserve">Proposal 2d: An SCellConfig IE may use delta signaling wrt to </w:t>
      </w:r>
      <w:r w:rsidR="007122D0">
        <w:rPr>
          <w:b/>
          <w:bCs/>
        </w:rPr>
        <w:t xml:space="preserve">either </w:t>
      </w:r>
      <w:r>
        <w:rPr>
          <w:b/>
          <w:bCs/>
        </w:rPr>
        <w:t>a reference SpCellConfig IE or a reference SCellConfig IE.</w:t>
      </w:r>
    </w:p>
    <w:p w14:paraId="7EF70A04" w14:textId="77777777" w:rsidR="00AE313B" w:rsidRDefault="00AE313B" w:rsidP="008B4F4A">
      <w:pPr>
        <w:rPr>
          <w:b/>
          <w:bCs/>
        </w:rPr>
      </w:pPr>
    </w:p>
    <w:p w14:paraId="70A5F7AB" w14:textId="249CD680" w:rsidR="00614E0D" w:rsidRDefault="00AE313B" w:rsidP="00614E0D">
      <w:pPr>
        <w:pStyle w:val="Heading2"/>
      </w:pPr>
      <w:r>
        <w:t>2.3</w:t>
      </w:r>
      <w:r>
        <w:tab/>
      </w:r>
      <w:r w:rsidR="00614E0D">
        <w:t>Determination of L2 Reset</w:t>
      </w:r>
    </w:p>
    <w:p w14:paraId="2B75B35A" w14:textId="47562D0A" w:rsidR="008C4223" w:rsidRPr="00AE313B" w:rsidRDefault="002144B3" w:rsidP="008B4F4A">
      <w:r>
        <w:t xml:space="preserve">RAN2#120 agreed that there are two options to indicate to the UE </w:t>
      </w:r>
      <w:r w:rsidR="00676CB6">
        <w:t>when</w:t>
      </w:r>
      <w:r>
        <w:t xml:space="preserve"> to perform L2 reset:</w:t>
      </w:r>
    </w:p>
    <w:p w14:paraId="48013047" w14:textId="3746C0A1" w:rsidR="00614E0D" w:rsidRPr="00676CB6" w:rsidRDefault="000A4432" w:rsidP="000A4432">
      <w:pPr>
        <w:pStyle w:val="ListParagraph"/>
        <w:numPr>
          <w:ilvl w:val="0"/>
          <w:numId w:val="29"/>
        </w:numPr>
        <w:rPr>
          <w:b/>
          <w:bCs/>
        </w:rPr>
      </w:pPr>
      <w:r>
        <w:rPr>
          <w:b/>
          <w:bCs/>
        </w:rPr>
        <w:t>Option 1</w:t>
      </w:r>
      <w:r>
        <w:t xml:space="preserve">: </w:t>
      </w:r>
      <w:r w:rsidR="00033E47">
        <w:t>a rule is pre-configured in RRC on when L2 reset is needed</w:t>
      </w:r>
      <w:r w:rsidR="00BA3470">
        <w:t>.</w:t>
      </w:r>
    </w:p>
    <w:p w14:paraId="1A2EB341" w14:textId="471DEA03" w:rsidR="00D84D1D" w:rsidRPr="00DF7106" w:rsidRDefault="00676CB6" w:rsidP="00D84D1D">
      <w:pPr>
        <w:pStyle w:val="ListParagraph"/>
        <w:numPr>
          <w:ilvl w:val="0"/>
          <w:numId w:val="29"/>
        </w:numPr>
        <w:rPr>
          <w:b/>
          <w:bCs/>
        </w:rPr>
      </w:pPr>
      <w:r>
        <w:rPr>
          <w:b/>
          <w:bCs/>
        </w:rPr>
        <w:t>Option 2</w:t>
      </w:r>
      <w:r>
        <w:t xml:space="preserve">: The network </w:t>
      </w:r>
      <w:r w:rsidR="00D84D1D">
        <w:t>dynamically indicates L2 reset within the LTM cell switch MAC CE</w:t>
      </w:r>
      <w:r w:rsidR="00DF7106">
        <w:t>.</w:t>
      </w:r>
    </w:p>
    <w:p w14:paraId="61A744BD" w14:textId="554B29AD" w:rsidR="00DF7106" w:rsidRDefault="003E6C02" w:rsidP="00DF7106">
      <w:r>
        <w:t>One reason L2 reset is needed is if the UE performs inter-DU LTM</w:t>
      </w:r>
      <w:r w:rsidR="00551574">
        <w:t>, in which case the source cell group and the target cell group are served by different DUs.</w:t>
      </w:r>
      <w:r w:rsidR="00CA1F9F">
        <w:t xml:space="preserve"> Since the network knows which </w:t>
      </w:r>
      <w:r w:rsidR="00717900">
        <w:t>LTM-</w:t>
      </w:r>
      <w:r w:rsidR="00CA1F9F">
        <w:t>candidate</w:t>
      </w:r>
      <w:r w:rsidR="002B578B">
        <w:t xml:space="preserve"> </w:t>
      </w:r>
      <w:r w:rsidR="00CA1F9F">
        <w:t>cell groups</w:t>
      </w:r>
      <w:r w:rsidR="002B578B">
        <w:t xml:space="preserve"> are associated with the same or different DU</w:t>
      </w:r>
      <w:r w:rsidR="00717900">
        <w:t xml:space="preserve">s, and </w:t>
      </w:r>
      <w:r w:rsidR="00717900" w:rsidRPr="002E139C">
        <w:rPr>
          <w:b/>
          <w:bCs/>
        </w:rPr>
        <w:t>since this association</w:t>
      </w:r>
      <w:r w:rsidR="00A67D38" w:rsidRPr="002E139C">
        <w:rPr>
          <w:b/>
          <w:bCs/>
        </w:rPr>
        <w:t xml:space="preserve"> between a cell group and a DU does not chang</w:t>
      </w:r>
      <w:r w:rsidR="00717900" w:rsidRPr="002E139C">
        <w:rPr>
          <w:b/>
          <w:bCs/>
        </w:rPr>
        <w:t>e</w:t>
      </w:r>
      <w:r w:rsidR="00A67D38" w:rsidRPr="002E139C">
        <w:rPr>
          <w:b/>
          <w:bCs/>
        </w:rPr>
        <w:t xml:space="preserve"> over time</w:t>
      </w:r>
      <w:r w:rsidR="00A67D38">
        <w:t xml:space="preserve">, </w:t>
      </w:r>
      <w:r w:rsidR="001B554F">
        <w:t>the network can pre-configure</w:t>
      </w:r>
      <w:r w:rsidR="005B23DE">
        <w:t xml:space="preserve"> in RRC</w:t>
      </w:r>
      <w:r w:rsidR="001B554F">
        <w:t xml:space="preserve"> </w:t>
      </w:r>
      <w:r w:rsidR="005B23DE">
        <w:t>the pairs of cell groups b/w which the UE does not perform L2 reset and those pairs b/w which L2 reset is to be performed.</w:t>
      </w:r>
    </w:p>
    <w:p w14:paraId="3F8AA5FE" w14:textId="216AF32F" w:rsidR="00797BEC" w:rsidRPr="00797BEC" w:rsidRDefault="00797BEC" w:rsidP="00DF7106">
      <w:pPr>
        <w:rPr>
          <w:b/>
          <w:bCs/>
        </w:rPr>
      </w:pPr>
      <w:r>
        <w:rPr>
          <w:b/>
          <w:bCs/>
        </w:rPr>
        <w:t>Observation</w:t>
      </w:r>
      <w:r w:rsidR="008601CF">
        <w:rPr>
          <w:b/>
          <w:bCs/>
        </w:rPr>
        <w:t xml:space="preserve"> 2</w:t>
      </w:r>
      <w:r>
        <w:rPr>
          <w:b/>
          <w:bCs/>
        </w:rPr>
        <w:t xml:space="preserve">: Association b/w </w:t>
      </w:r>
      <w:r w:rsidR="008601CF">
        <w:rPr>
          <w:b/>
          <w:bCs/>
        </w:rPr>
        <w:t>candidate cell groups and DUs does not dynamically change.</w:t>
      </w:r>
      <w:r w:rsidR="00201555">
        <w:rPr>
          <w:b/>
          <w:bCs/>
        </w:rPr>
        <w:t xml:space="preserve"> </w:t>
      </w:r>
      <w:r w:rsidR="00CB7619">
        <w:rPr>
          <w:b/>
          <w:bCs/>
        </w:rPr>
        <w:t>Therefore, d</w:t>
      </w:r>
      <w:r w:rsidR="00201555">
        <w:rPr>
          <w:b/>
          <w:bCs/>
        </w:rPr>
        <w:t xml:space="preserve">ynamic signaling to indicate L2 reset is </w:t>
      </w:r>
      <w:r w:rsidR="00CB7619">
        <w:rPr>
          <w:b/>
          <w:bCs/>
        </w:rPr>
        <w:t>not needed.</w:t>
      </w:r>
    </w:p>
    <w:p w14:paraId="122D3068" w14:textId="3E9031D7" w:rsidR="00895474" w:rsidRDefault="00895474" w:rsidP="00DF7106">
      <w:r>
        <w:t>We therefore support Option 1.</w:t>
      </w:r>
    </w:p>
    <w:p w14:paraId="3CD4E0F8" w14:textId="251CF7F0" w:rsidR="00895474" w:rsidRPr="00042A08" w:rsidRDefault="00042A08" w:rsidP="00DF7106">
      <w:pPr>
        <w:rPr>
          <w:b/>
          <w:bCs/>
        </w:rPr>
      </w:pPr>
      <w:r>
        <w:rPr>
          <w:b/>
          <w:bCs/>
        </w:rPr>
        <w:t xml:space="preserve">Proposal 3: An RRC rule provides </w:t>
      </w:r>
      <w:r w:rsidR="00076BCC">
        <w:rPr>
          <w:b/>
          <w:bCs/>
        </w:rPr>
        <w:t>pairings</w:t>
      </w:r>
      <w:r>
        <w:rPr>
          <w:b/>
          <w:bCs/>
        </w:rPr>
        <w:t xml:space="preserve"> of LTM-candidate cell groups to the UE</w:t>
      </w:r>
      <w:r w:rsidR="00ED680B">
        <w:rPr>
          <w:b/>
          <w:bCs/>
        </w:rPr>
        <w:t xml:space="preserve"> b/w </w:t>
      </w:r>
      <w:r w:rsidR="003B1A97">
        <w:rPr>
          <w:b/>
          <w:bCs/>
        </w:rPr>
        <w:t xml:space="preserve">which the UE should perform </w:t>
      </w:r>
      <w:r w:rsidR="00AC5802">
        <w:rPr>
          <w:b/>
          <w:bCs/>
        </w:rPr>
        <w:t xml:space="preserve">or skip </w:t>
      </w:r>
      <w:r w:rsidR="003B1A97">
        <w:rPr>
          <w:b/>
          <w:bCs/>
        </w:rPr>
        <w:t>L2 reset</w:t>
      </w:r>
      <w:r w:rsidR="00AC5802">
        <w:rPr>
          <w:b/>
          <w:bCs/>
        </w:rPr>
        <w:t>.</w:t>
      </w:r>
      <w:r w:rsidR="00ED680B">
        <w:rPr>
          <w:b/>
          <w:bCs/>
        </w:rPr>
        <w:t xml:space="preserve"> </w:t>
      </w:r>
    </w:p>
    <w:p w14:paraId="2B57F68D" w14:textId="05F39DC3" w:rsidR="00B47929" w:rsidRDefault="00B47929" w:rsidP="00B47929">
      <w:pPr>
        <w:pStyle w:val="Heading2"/>
      </w:pPr>
      <w:r>
        <w:t>2.4</w:t>
      </w:r>
      <w:r>
        <w:tab/>
      </w:r>
      <w:r w:rsidRPr="005F1E11">
        <w:t>UE processing of the candidate cell configurations</w:t>
      </w:r>
    </w:p>
    <w:p w14:paraId="689A3BD6" w14:textId="77777777" w:rsidR="00B47929" w:rsidRDefault="00B47929" w:rsidP="00B47929">
      <w:r>
        <w:t>When the UE receives RRC configurations for the candidate cells of LTM, two options are possible:</w:t>
      </w:r>
    </w:p>
    <w:p w14:paraId="7FF67EEB" w14:textId="77777777" w:rsidR="00B47929" w:rsidRDefault="00B47929" w:rsidP="00B47929">
      <w:pPr>
        <w:pStyle w:val="ListParagraph"/>
        <w:numPr>
          <w:ilvl w:val="0"/>
          <w:numId w:val="28"/>
        </w:numPr>
        <w:jc w:val="both"/>
      </w:pPr>
      <w:r>
        <w:rPr>
          <w:b/>
          <w:bCs/>
        </w:rPr>
        <w:t>Option 1 – CHO-like processing</w:t>
      </w:r>
      <w:r>
        <w:t xml:space="preserve">: The UE </w:t>
      </w:r>
      <w:r w:rsidRPr="003A61D1">
        <w:rPr>
          <w:u w:val="single"/>
        </w:rPr>
        <w:t>may</w:t>
      </w:r>
      <w:r>
        <w:t xml:space="preserve"> postpone ASN.1 decoding and validation of the RRC configuration of a candidate cell until cell switch to the candidate cell is triggered by the cell switch command.</w:t>
      </w:r>
    </w:p>
    <w:p w14:paraId="2E6FF914" w14:textId="77777777" w:rsidR="00B47929" w:rsidRDefault="00B47929" w:rsidP="00B47929">
      <w:pPr>
        <w:pStyle w:val="ListParagraph"/>
        <w:numPr>
          <w:ilvl w:val="0"/>
          <w:numId w:val="28"/>
        </w:numPr>
      </w:pPr>
      <w:r>
        <w:rPr>
          <w:b/>
          <w:bCs/>
        </w:rPr>
        <w:t xml:space="preserve">Option 2 </w:t>
      </w:r>
      <w:r>
        <w:t xml:space="preserve">– </w:t>
      </w:r>
      <w:r>
        <w:rPr>
          <w:b/>
          <w:bCs/>
        </w:rPr>
        <w:t>prompt processing</w:t>
      </w:r>
      <w:r>
        <w:t xml:space="preserve">: The UE performs ASN.1 decoding and validation of the RRC configuration of a candidate cell upon receiving the RRC configuration. </w:t>
      </w:r>
    </w:p>
    <w:p w14:paraId="18B349E9" w14:textId="77777777" w:rsidR="00B47929" w:rsidRDefault="00B47929" w:rsidP="00B47929">
      <w:r>
        <w:t>Option 2 requires the UE to decode and validate the RRC configurations of all the candidate cells even if cell switch is never triggered towards those cells. This may be overwhelming to the UE. Furthermore, any latency savings of Option 2 can be realized by Option 1 if the UE’s implementation in Option 1 does support the early processing. That was why Option 1 got selected for Rel-16 CHO.</w:t>
      </w:r>
    </w:p>
    <w:p w14:paraId="31273AB9" w14:textId="77777777" w:rsidR="00B47929" w:rsidRPr="009055C7" w:rsidRDefault="00B47929" w:rsidP="00B47929">
      <w:pPr>
        <w:rPr>
          <w:b/>
          <w:bCs/>
        </w:rPr>
      </w:pPr>
      <w:r w:rsidRPr="009055C7">
        <w:rPr>
          <w:b/>
          <w:bCs/>
        </w:rPr>
        <w:t xml:space="preserve">Observation 3: Prompt processing of </w:t>
      </w:r>
      <w:r>
        <w:rPr>
          <w:b/>
          <w:bCs/>
        </w:rPr>
        <w:t>the</w:t>
      </w:r>
      <w:r w:rsidRPr="009055C7">
        <w:rPr>
          <w:b/>
          <w:bCs/>
        </w:rPr>
        <w:t xml:space="preserve"> RRC configurations </w:t>
      </w:r>
      <w:r>
        <w:rPr>
          <w:b/>
          <w:bCs/>
        </w:rPr>
        <w:t xml:space="preserve">for all candidate cells for LTM </w:t>
      </w:r>
      <w:r w:rsidRPr="009055C7">
        <w:rPr>
          <w:b/>
          <w:bCs/>
        </w:rPr>
        <w:t>may be overwhelming to the UE.</w:t>
      </w:r>
    </w:p>
    <w:p w14:paraId="4904A532" w14:textId="77777777" w:rsidR="00B47929" w:rsidRPr="009055C7" w:rsidRDefault="00B47929" w:rsidP="00B47929">
      <w:pPr>
        <w:rPr>
          <w:b/>
          <w:bCs/>
        </w:rPr>
      </w:pPr>
      <w:r w:rsidRPr="009055C7">
        <w:rPr>
          <w:b/>
          <w:bCs/>
        </w:rPr>
        <w:t xml:space="preserve">Observation 4: CHO-like processing of </w:t>
      </w:r>
      <w:r>
        <w:rPr>
          <w:b/>
          <w:bCs/>
        </w:rPr>
        <w:t>an</w:t>
      </w:r>
      <w:r w:rsidRPr="009055C7">
        <w:rPr>
          <w:b/>
          <w:bCs/>
        </w:rPr>
        <w:t xml:space="preserve"> RRC configuration</w:t>
      </w:r>
      <w:r>
        <w:rPr>
          <w:b/>
          <w:bCs/>
        </w:rPr>
        <w:t xml:space="preserve"> of a candidate cell for LTM</w:t>
      </w:r>
      <w:r w:rsidRPr="009055C7">
        <w:rPr>
          <w:b/>
          <w:bCs/>
        </w:rPr>
        <w:t xml:space="preserve"> does not preclude early decoding and validation if supported by the UE’s implementation.</w:t>
      </w:r>
    </w:p>
    <w:p w14:paraId="52424EC6" w14:textId="77777777" w:rsidR="00B47929" w:rsidRDefault="00B47929" w:rsidP="00B47929">
      <w:r>
        <w:t>Option 1 should therefore be supported.</w:t>
      </w:r>
    </w:p>
    <w:p w14:paraId="2D8ADE0C" w14:textId="05EE11FF" w:rsidR="00B47929" w:rsidRPr="00775E8F" w:rsidRDefault="00B47929" w:rsidP="00DF7106">
      <w:pPr>
        <w:rPr>
          <w:b/>
          <w:bCs/>
        </w:rPr>
      </w:pPr>
      <w:r>
        <w:rPr>
          <w:b/>
          <w:bCs/>
        </w:rPr>
        <w:lastRenderedPageBreak/>
        <w:t xml:space="preserve">Proposal </w:t>
      </w:r>
      <w:r w:rsidR="00A22E27">
        <w:rPr>
          <w:b/>
          <w:bCs/>
        </w:rPr>
        <w:t>4</w:t>
      </w:r>
      <w:r>
        <w:rPr>
          <w:b/>
          <w:bCs/>
        </w:rPr>
        <w:t xml:space="preserve">: </w:t>
      </w:r>
      <w:r w:rsidRPr="009055C7">
        <w:rPr>
          <w:b/>
          <w:bCs/>
        </w:rPr>
        <w:t xml:space="preserve">The UE </w:t>
      </w:r>
      <w:r w:rsidRPr="009055C7">
        <w:rPr>
          <w:b/>
          <w:bCs/>
          <w:u w:val="single"/>
        </w:rPr>
        <w:t>may</w:t>
      </w:r>
      <w:r w:rsidRPr="009055C7">
        <w:rPr>
          <w:b/>
          <w:bCs/>
        </w:rPr>
        <w:t xml:space="preserve"> postpone ASN.1 decoding and validation of the RRC configuration of a candidate cell until cell switch to the candidate cell is triggered by the cell switch command.</w:t>
      </w:r>
    </w:p>
    <w:p w14:paraId="23DA704C" w14:textId="4D63F106" w:rsidR="0096408F" w:rsidRDefault="0096408F" w:rsidP="0096408F">
      <w:pPr>
        <w:pStyle w:val="Heading1"/>
      </w:pPr>
      <w:r>
        <w:t>Conclusion</w:t>
      </w:r>
    </w:p>
    <w:p w14:paraId="4B36BE02" w14:textId="7EFC586D" w:rsidR="0096408F" w:rsidRPr="0096408F" w:rsidRDefault="00211234" w:rsidP="0096408F">
      <w:pPr>
        <w:spacing w:after="0"/>
      </w:pPr>
      <w:r>
        <w:t xml:space="preserve">This contribution discussed </w:t>
      </w:r>
      <w:r w:rsidR="00B154E0">
        <w:t>RRC modelling, delta configuration, and L2 reset during LTM</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00238449" w14:textId="77777777" w:rsidR="00B154E0" w:rsidRDefault="00B154E0" w:rsidP="00B154E0">
      <w:pPr>
        <w:rPr>
          <w:b/>
          <w:bCs/>
        </w:rPr>
      </w:pPr>
      <w:r>
        <w:rPr>
          <w:b/>
          <w:bCs/>
        </w:rPr>
        <w:t>Observation 1a: A PCell of one candidate LTM cell group and an SCell of another candidate LTM cell group may be the same.</w:t>
      </w:r>
    </w:p>
    <w:p w14:paraId="6D9698D1" w14:textId="77777777" w:rsidR="00B154E0" w:rsidRDefault="00B154E0" w:rsidP="00B154E0">
      <w:pPr>
        <w:rPr>
          <w:b/>
          <w:bCs/>
        </w:rPr>
      </w:pPr>
      <w:r>
        <w:rPr>
          <w:b/>
          <w:bCs/>
        </w:rPr>
        <w:t>Observation 1b: If the same cell is a PCell in one candidate LTM cell group and an SCell in another candidate LTM cell group, using a common reference cell configuration to configure delta signaling for this cell is the most efficient.</w:t>
      </w:r>
    </w:p>
    <w:p w14:paraId="457181E3" w14:textId="5882E33F" w:rsidR="00B154E0" w:rsidRPr="00797BEC" w:rsidRDefault="00B154E0" w:rsidP="00B154E0">
      <w:pPr>
        <w:rPr>
          <w:b/>
          <w:bCs/>
        </w:rPr>
      </w:pPr>
      <w:r>
        <w:rPr>
          <w:b/>
          <w:bCs/>
        </w:rPr>
        <w:t xml:space="preserve">Observation 2: </w:t>
      </w:r>
      <w:r w:rsidR="00CB7619">
        <w:rPr>
          <w:b/>
          <w:bCs/>
        </w:rPr>
        <w:t>Association b/w candidate cell groups and DUs does not dynamically change. Therefore, dynamic signaling to indicate L2 reset is not needed.</w:t>
      </w:r>
    </w:p>
    <w:p w14:paraId="2E90C259" w14:textId="77777777" w:rsidR="00B154E0" w:rsidRPr="009055C7" w:rsidRDefault="00B154E0" w:rsidP="00B154E0">
      <w:pPr>
        <w:rPr>
          <w:b/>
          <w:bCs/>
        </w:rPr>
      </w:pPr>
      <w:r w:rsidRPr="009055C7">
        <w:rPr>
          <w:b/>
          <w:bCs/>
        </w:rPr>
        <w:t xml:space="preserve">Observation 3: Prompt processing of </w:t>
      </w:r>
      <w:r>
        <w:rPr>
          <w:b/>
          <w:bCs/>
        </w:rPr>
        <w:t>the</w:t>
      </w:r>
      <w:r w:rsidRPr="009055C7">
        <w:rPr>
          <w:b/>
          <w:bCs/>
        </w:rPr>
        <w:t xml:space="preserve"> RRC configurations </w:t>
      </w:r>
      <w:r>
        <w:rPr>
          <w:b/>
          <w:bCs/>
        </w:rPr>
        <w:t xml:space="preserve">for all candidate cells for LTM </w:t>
      </w:r>
      <w:r w:rsidRPr="009055C7">
        <w:rPr>
          <w:b/>
          <w:bCs/>
        </w:rPr>
        <w:t>may be overwhelming to the UE.</w:t>
      </w:r>
    </w:p>
    <w:p w14:paraId="027CA4DB" w14:textId="77777777" w:rsidR="00B154E0" w:rsidRPr="009055C7" w:rsidRDefault="00B154E0" w:rsidP="00B154E0">
      <w:pPr>
        <w:rPr>
          <w:b/>
          <w:bCs/>
        </w:rPr>
      </w:pPr>
      <w:r w:rsidRPr="009055C7">
        <w:rPr>
          <w:b/>
          <w:bCs/>
        </w:rPr>
        <w:t xml:space="preserve">Observation 4: CHO-like processing of </w:t>
      </w:r>
      <w:r>
        <w:rPr>
          <w:b/>
          <w:bCs/>
        </w:rPr>
        <w:t>an</w:t>
      </w:r>
      <w:r w:rsidRPr="009055C7">
        <w:rPr>
          <w:b/>
          <w:bCs/>
        </w:rPr>
        <w:t xml:space="preserve"> RRC configuration</w:t>
      </w:r>
      <w:r>
        <w:rPr>
          <w:b/>
          <w:bCs/>
        </w:rPr>
        <w:t xml:space="preserve"> of a candidate cell for LTM</w:t>
      </w:r>
      <w:r w:rsidRPr="009055C7">
        <w:rPr>
          <w:b/>
          <w:bCs/>
        </w:rPr>
        <w:t xml:space="preserve"> does not preclude early decoding and validation if supported by the UE’s implementation.</w:t>
      </w:r>
    </w:p>
    <w:p w14:paraId="443F948E" w14:textId="2D7A339A" w:rsidR="00AC527D" w:rsidRDefault="00AC527D" w:rsidP="0096408F">
      <w:pPr>
        <w:rPr>
          <w:b/>
          <w:bCs/>
        </w:rPr>
      </w:pPr>
    </w:p>
    <w:p w14:paraId="4410AAEF" w14:textId="77777777" w:rsidR="001447C1" w:rsidRPr="005A37C3" w:rsidRDefault="001447C1" w:rsidP="001447C1">
      <w:pPr>
        <w:rPr>
          <w:b/>
          <w:bCs/>
        </w:rPr>
      </w:pPr>
      <w:r>
        <w:rPr>
          <w:b/>
          <w:bCs/>
        </w:rPr>
        <w:t xml:space="preserve">Proposal 1: Support RRC Model 1 – one </w:t>
      </w:r>
      <w:r>
        <w:rPr>
          <w:b/>
          <w:bCs/>
          <w:lang w:val="en-US"/>
        </w:rPr>
        <w:t>Reconfiguration message per candidate target configuration.</w:t>
      </w:r>
    </w:p>
    <w:p w14:paraId="4E7A7E7F" w14:textId="77777777" w:rsidR="001447C1" w:rsidRDefault="001447C1" w:rsidP="001447C1">
      <w:pPr>
        <w:rPr>
          <w:b/>
          <w:bCs/>
          <w:color w:val="000000"/>
          <w:lang w:val="en-US" w:eastAsia="zh-CN"/>
        </w:rPr>
      </w:pPr>
      <w:r>
        <w:rPr>
          <w:b/>
          <w:bCs/>
          <w:color w:val="000000"/>
          <w:lang w:val="en-US" w:eastAsia="zh-CN"/>
        </w:rPr>
        <w:t xml:space="preserve">Proposal 2a: The reference configuration used for delta signaling includes at least one reference </w:t>
      </w:r>
      <w:r w:rsidRPr="00F25EE0">
        <w:rPr>
          <w:b/>
          <w:bCs/>
          <w:color w:val="000000"/>
          <w:lang w:val="en-US" w:eastAsia="zh-CN"/>
        </w:rPr>
        <w:t>SpCellConfig IE</w:t>
      </w:r>
      <w:r>
        <w:rPr>
          <w:b/>
          <w:bCs/>
          <w:color w:val="000000"/>
          <w:lang w:val="en-US" w:eastAsia="zh-CN"/>
        </w:rPr>
        <w:t xml:space="preserve"> and zero or more reference </w:t>
      </w:r>
      <w:r w:rsidRPr="00F25EE0">
        <w:rPr>
          <w:b/>
          <w:bCs/>
          <w:color w:val="000000"/>
          <w:lang w:val="en-US" w:eastAsia="zh-CN"/>
        </w:rPr>
        <w:t>SCellConfig IEs.</w:t>
      </w:r>
    </w:p>
    <w:p w14:paraId="4C53A8A6" w14:textId="77777777" w:rsidR="001447C1" w:rsidRDefault="001447C1" w:rsidP="001447C1">
      <w:pPr>
        <w:rPr>
          <w:b/>
          <w:bCs/>
        </w:rPr>
      </w:pPr>
      <w:r>
        <w:rPr>
          <w:b/>
          <w:bCs/>
        </w:rPr>
        <w:t>Proposal 2b: Different candidate LTM cell configurations may use different reference cell configurations for delta signaling.</w:t>
      </w:r>
    </w:p>
    <w:p w14:paraId="4079D254" w14:textId="77777777" w:rsidR="001447C1" w:rsidRDefault="001447C1" w:rsidP="001447C1">
      <w:pPr>
        <w:rPr>
          <w:b/>
          <w:bCs/>
        </w:rPr>
      </w:pPr>
      <w:r>
        <w:rPr>
          <w:b/>
          <w:bCs/>
        </w:rPr>
        <w:t>Proposal 2c: An SpCellConfig IE may use delta signaling wrt to either a reference SpCellConfig IE or a reference SCellConfig IE.</w:t>
      </w:r>
    </w:p>
    <w:p w14:paraId="1C86BB2E" w14:textId="77777777" w:rsidR="001447C1" w:rsidRDefault="001447C1" w:rsidP="001447C1">
      <w:pPr>
        <w:rPr>
          <w:b/>
          <w:bCs/>
        </w:rPr>
      </w:pPr>
      <w:r>
        <w:rPr>
          <w:b/>
          <w:bCs/>
        </w:rPr>
        <w:t>Proposal 2d: An SCellConfig IE may use delta signaling wrt to either a reference SpCellConfig IE or a reference SCellConfig IE.</w:t>
      </w:r>
    </w:p>
    <w:p w14:paraId="77C7A54E" w14:textId="77777777" w:rsidR="001447C1" w:rsidRPr="00042A08" w:rsidRDefault="001447C1" w:rsidP="001447C1">
      <w:pPr>
        <w:rPr>
          <w:b/>
          <w:bCs/>
        </w:rPr>
      </w:pPr>
      <w:r>
        <w:rPr>
          <w:b/>
          <w:bCs/>
        </w:rPr>
        <w:t xml:space="preserve">Proposal 3: An RRC rule provides pairings of LTM-candidate cell groups to the UE b/w which the UE should perform or skip L2 reset. </w:t>
      </w:r>
    </w:p>
    <w:p w14:paraId="441A67E6" w14:textId="25EC97E3" w:rsidR="001447C1" w:rsidRPr="00A20365" w:rsidRDefault="001447C1" w:rsidP="0096408F">
      <w:pPr>
        <w:rPr>
          <w:b/>
          <w:bCs/>
        </w:rPr>
      </w:pPr>
      <w:r>
        <w:rPr>
          <w:b/>
          <w:bCs/>
        </w:rPr>
        <w:t xml:space="preserve">Proposal </w:t>
      </w:r>
      <w:r w:rsidR="00A22E27">
        <w:rPr>
          <w:b/>
          <w:bCs/>
        </w:rPr>
        <w:t>4</w:t>
      </w:r>
      <w:r>
        <w:rPr>
          <w:b/>
          <w:bCs/>
        </w:rPr>
        <w:t xml:space="preserve">: </w:t>
      </w:r>
      <w:r w:rsidRPr="009055C7">
        <w:rPr>
          <w:b/>
          <w:bCs/>
        </w:rPr>
        <w:t xml:space="preserve">The UE </w:t>
      </w:r>
      <w:r w:rsidRPr="009055C7">
        <w:rPr>
          <w:b/>
          <w:bCs/>
          <w:u w:val="single"/>
        </w:rPr>
        <w:t>may</w:t>
      </w:r>
      <w:r w:rsidRPr="009055C7">
        <w:rPr>
          <w:b/>
          <w:bCs/>
        </w:rPr>
        <w:t xml:space="preserve"> postpone ASN.1 decoding and validation of the RRC configuration of a candidate cell until cell switch to the candidate cell is triggered by the cell switch command.</w:t>
      </w:r>
    </w:p>
    <w:p w14:paraId="7F9A5B2E" w14:textId="77777777" w:rsidR="00CD4C7B" w:rsidRPr="00320A6B" w:rsidRDefault="00CD4C7B" w:rsidP="00CD4C7B">
      <w:pPr>
        <w:pStyle w:val="Heading1"/>
      </w:pPr>
      <w:r w:rsidRPr="00320A6B">
        <w:t>References</w:t>
      </w:r>
    </w:p>
    <w:p w14:paraId="18A8108C" w14:textId="7325D56E" w:rsidR="00080512" w:rsidRDefault="000C5A38"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w:t>
      </w:r>
      <w:r w:rsidR="00F41A2E">
        <w:rPr>
          <w:lang w:val="en-US" w:eastAsia="zh-CN"/>
        </w:rPr>
        <w:t>20</w:t>
      </w:r>
      <w:r>
        <w:rPr>
          <w:lang w:val="en-US" w:eastAsia="zh-CN"/>
        </w:rPr>
        <w:t xml:space="preserve"> – Chairman Notes</w:t>
      </w:r>
    </w:p>
    <w:p w14:paraId="0D79DDB1" w14:textId="35DA421B" w:rsidR="00BC0337" w:rsidRPr="00BC0337" w:rsidRDefault="00BC0337" w:rsidP="00BC033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RAN2-119bis-e – Chairman Notes</w:t>
      </w:r>
    </w:p>
    <w:sectPr w:rsidR="00BC0337" w:rsidRPr="00BC03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CC7F" w14:textId="77777777" w:rsidR="00806FCC" w:rsidRDefault="00806FCC">
      <w:r>
        <w:separator/>
      </w:r>
    </w:p>
  </w:endnote>
  <w:endnote w:type="continuationSeparator" w:id="0">
    <w:p w14:paraId="49426A82" w14:textId="77777777" w:rsidR="00806FCC" w:rsidRDefault="00806FCC">
      <w:r>
        <w:continuationSeparator/>
      </w:r>
    </w:p>
  </w:endnote>
  <w:endnote w:type="continuationNotice" w:id="1">
    <w:p w14:paraId="66E76C6E" w14:textId="77777777" w:rsidR="00806FCC" w:rsidRDefault="00806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F7A78" w14:textId="77777777" w:rsidR="00806FCC" w:rsidRDefault="00806FCC">
      <w:r>
        <w:separator/>
      </w:r>
    </w:p>
  </w:footnote>
  <w:footnote w:type="continuationSeparator" w:id="0">
    <w:p w14:paraId="131CAC73" w14:textId="77777777" w:rsidR="00806FCC" w:rsidRDefault="00806FCC">
      <w:r>
        <w:continuationSeparator/>
      </w:r>
    </w:p>
  </w:footnote>
  <w:footnote w:type="continuationNotice" w:id="1">
    <w:p w14:paraId="67DB23AE" w14:textId="77777777" w:rsidR="00806FCC" w:rsidRDefault="00806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3A3065"/>
    <w:multiLevelType w:val="hybridMultilevel"/>
    <w:tmpl w:val="C08A0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2"/>
  </w:num>
  <w:num w:numId="2" w16cid:durableId="2116292819">
    <w:abstractNumId w:val="25"/>
  </w:num>
  <w:num w:numId="3" w16cid:durableId="1908884033">
    <w:abstractNumId w:val="16"/>
  </w:num>
  <w:num w:numId="4" w16cid:durableId="1452552331">
    <w:abstractNumId w:val="22"/>
  </w:num>
  <w:num w:numId="5" w16cid:durableId="1434588431">
    <w:abstractNumId w:val="24"/>
  </w:num>
  <w:num w:numId="6" w16cid:durableId="1933010945">
    <w:abstractNumId w:val="3"/>
  </w:num>
  <w:num w:numId="7" w16cid:durableId="1030689953">
    <w:abstractNumId w:val="10"/>
  </w:num>
  <w:num w:numId="8" w16cid:durableId="1706830376">
    <w:abstractNumId w:val="6"/>
  </w:num>
  <w:num w:numId="9" w16cid:durableId="222915299">
    <w:abstractNumId w:val="9"/>
  </w:num>
  <w:num w:numId="10" w16cid:durableId="106125095">
    <w:abstractNumId w:val="14"/>
  </w:num>
  <w:num w:numId="11" w16cid:durableId="554203179">
    <w:abstractNumId w:val="7"/>
  </w:num>
  <w:num w:numId="12" w16cid:durableId="2084986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0"/>
  </w:num>
  <w:num w:numId="16" w16cid:durableId="528490114">
    <w:abstractNumId w:val="5"/>
  </w:num>
  <w:num w:numId="17" w16cid:durableId="1123159520">
    <w:abstractNumId w:val="19"/>
  </w:num>
  <w:num w:numId="18" w16cid:durableId="119152475">
    <w:abstractNumId w:val="0"/>
  </w:num>
  <w:num w:numId="19" w16cid:durableId="1735278911">
    <w:abstractNumId w:val="28"/>
  </w:num>
  <w:num w:numId="20" w16cid:durableId="1006323627">
    <w:abstractNumId w:val="2"/>
  </w:num>
  <w:num w:numId="21" w16cid:durableId="1325088112">
    <w:abstractNumId w:val="26"/>
  </w:num>
  <w:num w:numId="22" w16cid:durableId="1049066290">
    <w:abstractNumId w:val="4"/>
  </w:num>
  <w:num w:numId="23" w16cid:durableId="1836409407">
    <w:abstractNumId w:val="15"/>
  </w:num>
  <w:num w:numId="24" w16cid:durableId="2088333526">
    <w:abstractNumId w:val="23"/>
  </w:num>
  <w:num w:numId="25" w16cid:durableId="1629701887">
    <w:abstractNumId w:val="17"/>
  </w:num>
  <w:num w:numId="26" w16cid:durableId="773208395">
    <w:abstractNumId w:val="11"/>
  </w:num>
  <w:num w:numId="27" w16cid:durableId="871503153">
    <w:abstractNumId w:val="13"/>
  </w:num>
  <w:num w:numId="28" w16cid:durableId="609318875">
    <w:abstractNumId w:val="18"/>
  </w:num>
  <w:num w:numId="29" w16cid:durableId="28130583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21E5"/>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6BC"/>
    <w:rsid w:val="00032EA4"/>
    <w:rsid w:val="00033397"/>
    <w:rsid w:val="000338DD"/>
    <w:rsid w:val="00033A28"/>
    <w:rsid w:val="00033E47"/>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A8C"/>
    <w:rsid w:val="00041B53"/>
    <w:rsid w:val="000422D9"/>
    <w:rsid w:val="000429B6"/>
    <w:rsid w:val="00042A08"/>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6BCC"/>
    <w:rsid w:val="000772B8"/>
    <w:rsid w:val="0007762E"/>
    <w:rsid w:val="00077C88"/>
    <w:rsid w:val="00077D9D"/>
    <w:rsid w:val="00077EFD"/>
    <w:rsid w:val="0008026D"/>
    <w:rsid w:val="00080512"/>
    <w:rsid w:val="00080EEB"/>
    <w:rsid w:val="000812F8"/>
    <w:rsid w:val="000820B6"/>
    <w:rsid w:val="00082C40"/>
    <w:rsid w:val="0008350E"/>
    <w:rsid w:val="00083AB6"/>
    <w:rsid w:val="00083D94"/>
    <w:rsid w:val="00083F95"/>
    <w:rsid w:val="00084591"/>
    <w:rsid w:val="00086904"/>
    <w:rsid w:val="0008762B"/>
    <w:rsid w:val="0008766D"/>
    <w:rsid w:val="00087CC3"/>
    <w:rsid w:val="00087E3D"/>
    <w:rsid w:val="00090401"/>
    <w:rsid w:val="00090468"/>
    <w:rsid w:val="0009256E"/>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432"/>
    <w:rsid w:val="000A469A"/>
    <w:rsid w:val="000A4756"/>
    <w:rsid w:val="000A5AD5"/>
    <w:rsid w:val="000A6F9E"/>
    <w:rsid w:val="000B0829"/>
    <w:rsid w:val="000B0C46"/>
    <w:rsid w:val="000B19D0"/>
    <w:rsid w:val="000B3E5F"/>
    <w:rsid w:val="000B3F59"/>
    <w:rsid w:val="000B4307"/>
    <w:rsid w:val="000B4D19"/>
    <w:rsid w:val="000B7BCF"/>
    <w:rsid w:val="000C0524"/>
    <w:rsid w:val="000C08A3"/>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7DE"/>
    <w:rsid w:val="000E2162"/>
    <w:rsid w:val="000E427B"/>
    <w:rsid w:val="000E49BE"/>
    <w:rsid w:val="000E5617"/>
    <w:rsid w:val="000E5E36"/>
    <w:rsid w:val="000E6697"/>
    <w:rsid w:val="000F03B7"/>
    <w:rsid w:val="000F0743"/>
    <w:rsid w:val="000F07FC"/>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F7"/>
    <w:rsid w:val="00111374"/>
    <w:rsid w:val="0011222A"/>
    <w:rsid w:val="00112EF6"/>
    <w:rsid w:val="00114310"/>
    <w:rsid w:val="001145AF"/>
    <w:rsid w:val="0011470F"/>
    <w:rsid w:val="001147B7"/>
    <w:rsid w:val="001158B5"/>
    <w:rsid w:val="00115A3A"/>
    <w:rsid w:val="00116DE8"/>
    <w:rsid w:val="00117245"/>
    <w:rsid w:val="0012044C"/>
    <w:rsid w:val="00120844"/>
    <w:rsid w:val="00120C85"/>
    <w:rsid w:val="00121905"/>
    <w:rsid w:val="00121FB7"/>
    <w:rsid w:val="0012232A"/>
    <w:rsid w:val="0012241E"/>
    <w:rsid w:val="001224F1"/>
    <w:rsid w:val="00122700"/>
    <w:rsid w:val="00123575"/>
    <w:rsid w:val="00123A2A"/>
    <w:rsid w:val="00123DB1"/>
    <w:rsid w:val="00123ED1"/>
    <w:rsid w:val="001241A8"/>
    <w:rsid w:val="00124B3D"/>
    <w:rsid w:val="00126209"/>
    <w:rsid w:val="00126D29"/>
    <w:rsid w:val="00130477"/>
    <w:rsid w:val="00130949"/>
    <w:rsid w:val="00131318"/>
    <w:rsid w:val="00131495"/>
    <w:rsid w:val="001320DB"/>
    <w:rsid w:val="00132166"/>
    <w:rsid w:val="00134105"/>
    <w:rsid w:val="001344F8"/>
    <w:rsid w:val="00134F91"/>
    <w:rsid w:val="00135C51"/>
    <w:rsid w:val="00135EC2"/>
    <w:rsid w:val="00136CFF"/>
    <w:rsid w:val="00137211"/>
    <w:rsid w:val="00137558"/>
    <w:rsid w:val="00137667"/>
    <w:rsid w:val="00137B44"/>
    <w:rsid w:val="00140C86"/>
    <w:rsid w:val="00141242"/>
    <w:rsid w:val="00143E7A"/>
    <w:rsid w:val="001447C1"/>
    <w:rsid w:val="0014488C"/>
    <w:rsid w:val="00145075"/>
    <w:rsid w:val="00146FB1"/>
    <w:rsid w:val="0014714F"/>
    <w:rsid w:val="0014751F"/>
    <w:rsid w:val="00147B8F"/>
    <w:rsid w:val="0015058A"/>
    <w:rsid w:val="00150D4C"/>
    <w:rsid w:val="00151063"/>
    <w:rsid w:val="00152357"/>
    <w:rsid w:val="0015367F"/>
    <w:rsid w:val="00153B24"/>
    <w:rsid w:val="00155D67"/>
    <w:rsid w:val="001568A4"/>
    <w:rsid w:val="00157634"/>
    <w:rsid w:val="0015777C"/>
    <w:rsid w:val="00157B0B"/>
    <w:rsid w:val="0016098E"/>
    <w:rsid w:val="00160AF6"/>
    <w:rsid w:val="00161683"/>
    <w:rsid w:val="001619CF"/>
    <w:rsid w:val="00161E4A"/>
    <w:rsid w:val="001621C0"/>
    <w:rsid w:val="0016224C"/>
    <w:rsid w:val="00163DF7"/>
    <w:rsid w:val="00163E1F"/>
    <w:rsid w:val="00165041"/>
    <w:rsid w:val="001659A2"/>
    <w:rsid w:val="00165E3E"/>
    <w:rsid w:val="00167246"/>
    <w:rsid w:val="00167A87"/>
    <w:rsid w:val="00167C99"/>
    <w:rsid w:val="001711B4"/>
    <w:rsid w:val="0017284D"/>
    <w:rsid w:val="00174173"/>
    <w:rsid w:val="001741A0"/>
    <w:rsid w:val="001741DF"/>
    <w:rsid w:val="00174246"/>
    <w:rsid w:val="001748BD"/>
    <w:rsid w:val="00175A4D"/>
    <w:rsid w:val="001767D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876E7"/>
    <w:rsid w:val="00190C58"/>
    <w:rsid w:val="001914AA"/>
    <w:rsid w:val="0019338F"/>
    <w:rsid w:val="001933A2"/>
    <w:rsid w:val="00194CC5"/>
    <w:rsid w:val="00194CD0"/>
    <w:rsid w:val="00194F4F"/>
    <w:rsid w:val="00195511"/>
    <w:rsid w:val="001961D6"/>
    <w:rsid w:val="00196C23"/>
    <w:rsid w:val="00196F1D"/>
    <w:rsid w:val="0019788E"/>
    <w:rsid w:val="001A16DE"/>
    <w:rsid w:val="001A275B"/>
    <w:rsid w:val="001A2B4C"/>
    <w:rsid w:val="001A3194"/>
    <w:rsid w:val="001A3490"/>
    <w:rsid w:val="001A3C54"/>
    <w:rsid w:val="001A43E1"/>
    <w:rsid w:val="001A6D8E"/>
    <w:rsid w:val="001A7342"/>
    <w:rsid w:val="001B15EF"/>
    <w:rsid w:val="001B2253"/>
    <w:rsid w:val="001B252A"/>
    <w:rsid w:val="001B39BC"/>
    <w:rsid w:val="001B3DF2"/>
    <w:rsid w:val="001B3E0C"/>
    <w:rsid w:val="001B49C9"/>
    <w:rsid w:val="001B554F"/>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5C44"/>
    <w:rsid w:val="001F5CC4"/>
    <w:rsid w:val="001F62DD"/>
    <w:rsid w:val="001F632B"/>
    <w:rsid w:val="001F76C1"/>
    <w:rsid w:val="001F7831"/>
    <w:rsid w:val="002008C2"/>
    <w:rsid w:val="0020111A"/>
    <w:rsid w:val="00201555"/>
    <w:rsid w:val="002016BF"/>
    <w:rsid w:val="00201844"/>
    <w:rsid w:val="002019DE"/>
    <w:rsid w:val="00201B08"/>
    <w:rsid w:val="002024C8"/>
    <w:rsid w:val="002029A9"/>
    <w:rsid w:val="00203645"/>
    <w:rsid w:val="0020370C"/>
    <w:rsid w:val="00204045"/>
    <w:rsid w:val="0020425F"/>
    <w:rsid w:val="002061D2"/>
    <w:rsid w:val="00206DB4"/>
    <w:rsid w:val="00206ED3"/>
    <w:rsid w:val="00207079"/>
    <w:rsid w:val="00211234"/>
    <w:rsid w:val="0021353E"/>
    <w:rsid w:val="002135CA"/>
    <w:rsid w:val="002138DD"/>
    <w:rsid w:val="00213E0D"/>
    <w:rsid w:val="002144B3"/>
    <w:rsid w:val="00214E95"/>
    <w:rsid w:val="00215C7D"/>
    <w:rsid w:val="00216471"/>
    <w:rsid w:val="00216FA7"/>
    <w:rsid w:val="002201C1"/>
    <w:rsid w:val="002218AC"/>
    <w:rsid w:val="00221DC7"/>
    <w:rsid w:val="00221E06"/>
    <w:rsid w:val="00221F6C"/>
    <w:rsid w:val="002236E3"/>
    <w:rsid w:val="00223AD3"/>
    <w:rsid w:val="00224198"/>
    <w:rsid w:val="002244A9"/>
    <w:rsid w:val="00224D01"/>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605"/>
    <w:rsid w:val="00256B66"/>
    <w:rsid w:val="00256C94"/>
    <w:rsid w:val="00257A49"/>
    <w:rsid w:val="00260AE7"/>
    <w:rsid w:val="00261860"/>
    <w:rsid w:val="00262113"/>
    <w:rsid w:val="00262A9D"/>
    <w:rsid w:val="00262CB8"/>
    <w:rsid w:val="00262CDC"/>
    <w:rsid w:val="00262EDD"/>
    <w:rsid w:val="002645F7"/>
    <w:rsid w:val="00264A5D"/>
    <w:rsid w:val="0026614D"/>
    <w:rsid w:val="0027053F"/>
    <w:rsid w:val="00270C1D"/>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50D8"/>
    <w:rsid w:val="002B578B"/>
    <w:rsid w:val="002B69DE"/>
    <w:rsid w:val="002B6EAF"/>
    <w:rsid w:val="002B7133"/>
    <w:rsid w:val="002C0FC3"/>
    <w:rsid w:val="002C2193"/>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9C"/>
    <w:rsid w:val="002E13C5"/>
    <w:rsid w:val="002E1652"/>
    <w:rsid w:val="002E1D57"/>
    <w:rsid w:val="002E2CD5"/>
    <w:rsid w:val="002E3084"/>
    <w:rsid w:val="002E386F"/>
    <w:rsid w:val="002E3CCA"/>
    <w:rsid w:val="002E61FD"/>
    <w:rsid w:val="002E755A"/>
    <w:rsid w:val="002E757C"/>
    <w:rsid w:val="002E7B35"/>
    <w:rsid w:val="002F02F7"/>
    <w:rsid w:val="002F0D22"/>
    <w:rsid w:val="002F1ED3"/>
    <w:rsid w:val="002F229B"/>
    <w:rsid w:val="002F267E"/>
    <w:rsid w:val="002F3B8A"/>
    <w:rsid w:val="002F3C58"/>
    <w:rsid w:val="002F4F7F"/>
    <w:rsid w:val="002F61D6"/>
    <w:rsid w:val="002F6770"/>
    <w:rsid w:val="002F6BC2"/>
    <w:rsid w:val="002F7845"/>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248"/>
    <w:rsid w:val="00322D89"/>
    <w:rsid w:val="00322DA2"/>
    <w:rsid w:val="00322DB6"/>
    <w:rsid w:val="00323464"/>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253"/>
    <w:rsid w:val="003414FC"/>
    <w:rsid w:val="003417CA"/>
    <w:rsid w:val="00341C10"/>
    <w:rsid w:val="003424E1"/>
    <w:rsid w:val="00342F8F"/>
    <w:rsid w:val="00343033"/>
    <w:rsid w:val="00343C86"/>
    <w:rsid w:val="00344236"/>
    <w:rsid w:val="00344710"/>
    <w:rsid w:val="00344969"/>
    <w:rsid w:val="00344C13"/>
    <w:rsid w:val="003452AB"/>
    <w:rsid w:val="003455CC"/>
    <w:rsid w:val="003459BB"/>
    <w:rsid w:val="00346125"/>
    <w:rsid w:val="00346B5D"/>
    <w:rsid w:val="00346D47"/>
    <w:rsid w:val="00347001"/>
    <w:rsid w:val="00350995"/>
    <w:rsid w:val="00352B45"/>
    <w:rsid w:val="00352F51"/>
    <w:rsid w:val="003536D9"/>
    <w:rsid w:val="00353EFF"/>
    <w:rsid w:val="003543AB"/>
    <w:rsid w:val="0035462D"/>
    <w:rsid w:val="003549E5"/>
    <w:rsid w:val="00354E1B"/>
    <w:rsid w:val="00355F8A"/>
    <w:rsid w:val="003569D0"/>
    <w:rsid w:val="00356B8C"/>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B1E"/>
    <w:rsid w:val="00365F68"/>
    <w:rsid w:val="00366075"/>
    <w:rsid w:val="003664F7"/>
    <w:rsid w:val="00366F41"/>
    <w:rsid w:val="0036720B"/>
    <w:rsid w:val="003673FE"/>
    <w:rsid w:val="00371355"/>
    <w:rsid w:val="003713B5"/>
    <w:rsid w:val="003713F1"/>
    <w:rsid w:val="00371744"/>
    <w:rsid w:val="00371773"/>
    <w:rsid w:val="003724B9"/>
    <w:rsid w:val="00372CB6"/>
    <w:rsid w:val="00372D36"/>
    <w:rsid w:val="00373445"/>
    <w:rsid w:val="0037415C"/>
    <w:rsid w:val="00374BAF"/>
    <w:rsid w:val="00375A2E"/>
    <w:rsid w:val="00375CCC"/>
    <w:rsid w:val="00376658"/>
    <w:rsid w:val="00376792"/>
    <w:rsid w:val="00376C55"/>
    <w:rsid w:val="00377A30"/>
    <w:rsid w:val="00377E3D"/>
    <w:rsid w:val="00377FD9"/>
    <w:rsid w:val="00380A4A"/>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A97"/>
    <w:rsid w:val="003B1B8C"/>
    <w:rsid w:val="003B1CB2"/>
    <w:rsid w:val="003B22C2"/>
    <w:rsid w:val="003B3B2C"/>
    <w:rsid w:val="003B3DFA"/>
    <w:rsid w:val="003B40AD"/>
    <w:rsid w:val="003B4FF9"/>
    <w:rsid w:val="003B58B3"/>
    <w:rsid w:val="003B5BB7"/>
    <w:rsid w:val="003B6713"/>
    <w:rsid w:val="003B67E5"/>
    <w:rsid w:val="003B7AD1"/>
    <w:rsid w:val="003C0176"/>
    <w:rsid w:val="003C0EFD"/>
    <w:rsid w:val="003C0FA8"/>
    <w:rsid w:val="003C1BCC"/>
    <w:rsid w:val="003C2271"/>
    <w:rsid w:val="003C3601"/>
    <w:rsid w:val="003C48BC"/>
    <w:rsid w:val="003C4E37"/>
    <w:rsid w:val="003C6194"/>
    <w:rsid w:val="003C66DE"/>
    <w:rsid w:val="003D0346"/>
    <w:rsid w:val="003D0659"/>
    <w:rsid w:val="003D0AEF"/>
    <w:rsid w:val="003D0E10"/>
    <w:rsid w:val="003D140F"/>
    <w:rsid w:val="003D159B"/>
    <w:rsid w:val="003D2286"/>
    <w:rsid w:val="003D2B58"/>
    <w:rsid w:val="003D2C5B"/>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02"/>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5800"/>
    <w:rsid w:val="00406E13"/>
    <w:rsid w:val="00407D3D"/>
    <w:rsid w:val="00410137"/>
    <w:rsid w:val="00410637"/>
    <w:rsid w:val="004123E8"/>
    <w:rsid w:val="00412662"/>
    <w:rsid w:val="0041296E"/>
    <w:rsid w:val="00413147"/>
    <w:rsid w:val="004142F1"/>
    <w:rsid w:val="00415162"/>
    <w:rsid w:val="00415A58"/>
    <w:rsid w:val="004160D6"/>
    <w:rsid w:val="004168E6"/>
    <w:rsid w:val="00416EE7"/>
    <w:rsid w:val="004174BD"/>
    <w:rsid w:val="00417842"/>
    <w:rsid w:val="0042020E"/>
    <w:rsid w:val="00420392"/>
    <w:rsid w:val="004203A6"/>
    <w:rsid w:val="00420A76"/>
    <w:rsid w:val="004218FB"/>
    <w:rsid w:val="00421A80"/>
    <w:rsid w:val="004223D5"/>
    <w:rsid w:val="0042380E"/>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4460"/>
    <w:rsid w:val="00454656"/>
    <w:rsid w:val="00456872"/>
    <w:rsid w:val="00456B3D"/>
    <w:rsid w:val="00457661"/>
    <w:rsid w:val="00460045"/>
    <w:rsid w:val="0046132E"/>
    <w:rsid w:val="00462C47"/>
    <w:rsid w:val="00462FDB"/>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85"/>
    <w:rsid w:val="004807E3"/>
    <w:rsid w:val="00480D23"/>
    <w:rsid w:val="0048130D"/>
    <w:rsid w:val="00482167"/>
    <w:rsid w:val="00482181"/>
    <w:rsid w:val="004822A1"/>
    <w:rsid w:val="0048230E"/>
    <w:rsid w:val="004829B0"/>
    <w:rsid w:val="004832C4"/>
    <w:rsid w:val="00483C1D"/>
    <w:rsid w:val="004843F7"/>
    <w:rsid w:val="00485177"/>
    <w:rsid w:val="00485492"/>
    <w:rsid w:val="00485BDB"/>
    <w:rsid w:val="004864C2"/>
    <w:rsid w:val="00486E50"/>
    <w:rsid w:val="00487072"/>
    <w:rsid w:val="00492258"/>
    <w:rsid w:val="00492558"/>
    <w:rsid w:val="00493216"/>
    <w:rsid w:val="00494346"/>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6F5"/>
    <w:rsid w:val="004A5853"/>
    <w:rsid w:val="004A59FA"/>
    <w:rsid w:val="004A68F4"/>
    <w:rsid w:val="004B1194"/>
    <w:rsid w:val="004B169E"/>
    <w:rsid w:val="004B1F04"/>
    <w:rsid w:val="004B20E3"/>
    <w:rsid w:val="004B3287"/>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6940"/>
    <w:rsid w:val="004D6986"/>
    <w:rsid w:val="004E0C79"/>
    <w:rsid w:val="004E1E3A"/>
    <w:rsid w:val="004E213A"/>
    <w:rsid w:val="004E2917"/>
    <w:rsid w:val="004E31D2"/>
    <w:rsid w:val="004E383E"/>
    <w:rsid w:val="004E419E"/>
    <w:rsid w:val="004E48C4"/>
    <w:rsid w:val="004E5D6F"/>
    <w:rsid w:val="004E663F"/>
    <w:rsid w:val="004E6967"/>
    <w:rsid w:val="004F012B"/>
    <w:rsid w:val="004F0DE1"/>
    <w:rsid w:val="004F0F3A"/>
    <w:rsid w:val="004F10A5"/>
    <w:rsid w:val="004F156A"/>
    <w:rsid w:val="004F22D9"/>
    <w:rsid w:val="004F2463"/>
    <w:rsid w:val="004F29E2"/>
    <w:rsid w:val="004F55B5"/>
    <w:rsid w:val="004F6CC1"/>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C2C"/>
    <w:rsid w:val="00527DB9"/>
    <w:rsid w:val="00527DE0"/>
    <w:rsid w:val="0053174F"/>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574"/>
    <w:rsid w:val="00551ED5"/>
    <w:rsid w:val="00551ED6"/>
    <w:rsid w:val="00551F97"/>
    <w:rsid w:val="00552AB3"/>
    <w:rsid w:val="00552D11"/>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D4D"/>
    <w:rsid w:val="005862E2"/>
    <w:rsid w:val="00586897"/>
    <w:rsid w:val="00586CF6"/>
    <w:rsid w:val="00587B48"/>
    <w:rsid w:val="005900CE"/>
    <w:rsid w:val="00590CEE"/>
    <w:rsid w:val="00591952"/>
    <w:rsid w:val="005920E6"/>
    <w:rsid w:val="00593AF0"/>
    <w:rsid w:val="00593B6E"/>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3DE"/>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1CCD"/>
    <w:rsid w:val="005F21F1"/>
    <w:rsid w:val="005F2EDF"/>
    <w:rsid w:val="005F3273"/>
    <w:rsid w:val="005F3692"/>
    <w:rsid w:val="005F39B7"/>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6AE"/>
    <w:rsid w:val="00611F13"/>
    <w:rsid w:val="00613340"/>
    <w:rsid w:val="006139A9"/>
    <w:rsid w:val="00613DDA"/>
    <w:rsid w:val="00614E0D"/>
    <w:rsid w:val="00614EE6"/>
    <w:rsid w:val="006154F6"/>
    <w:rsid w:val="0061571D"/>
    <w:rsid w:val="00615977"/>
    <w:rsid w:val="00615CCD"/>
    <w:rsid w:val="00615CD0"/>
    <w:rsid w:val="00615E59"/>
    <w:rsid w:val="00616365"/>
    <w:rsid w:val="00617394"/>
    <w:rsid w:val="00617449"/>
    <w:rsid w:val="00617574"/>
    <w:rsid w:val="00617C65"/>
    <w:rsid w:val="00621140"/>
    <w:rsid w:val="006211DA"/>
    <w:rsid w:val="00621371"/>
    <w:rsid w:val="00622582"/>
    <w:rsid w:val="00622A05"/>
    <w:rsid w:val="00623713"/>
    <w:rsid w:val="00623A25"/>
    <w:rsid w:val="00626696"/>
    <w:rsid w:val="0062739F"/>
    <w:rsid w:val="00627413"/>
    <w:rsid w:val="0063146A"/>
    <w:rsid w:val="0063164E"/>
    <w:rsid w:val="00631DBD"/>
    <w:rsid w:val="00632222"/>
    <w:rsid w:val="0063263C"/>
    <w:rsid w:val="00633784"/>
    <w:rsid w:val="006337DA"/>
    <w:rsid w:val="00635317"/>
    <w:rsid w:val="00635F47"/>
    <w:rsid w:val="006361C6"/>
    <w:rsid w:val="00636944"/>
    <w:rsid w:val="00636E0C"/>
    <w:rsid w:val="0064042E"/>
    <w:rsid w:val="00640FA0"/>
    <w:rsid w:val="00641EE3"/>
    <w:rsid w:val="00641F14"/>
    <w:rsid w:val="00642EFC"/>
    <w:rsid w:val="00643ADF"/>
    <w:rsid w:val="0064411C"/>
    <w:rsid w:val="00644E84"/>
    <w:rsid w:val="006454FE"/>
    <w:rsid w:val="00645D44"/>
    <w:rsid w:val="0064639D"/>
    <w:rsid w:val="00646586"/>
    <w:rsid w:val="006465F3"/>
    <w:rsid w:val="00646D99"/>
    <w:rsid w:val="00646E04"/>
    <w:rsid w:val="00647E8B"/>
    <w:rsid w:val="00650084"/>
    <w:rsid w:val="00650566"/>
    <w:rsid w:val="00651125"/>
    <w:rsid w:val="00651A6B"/>
    <w:rsid w:val="00651C37"/>
    <w:rsid w:val="0065252A"/>
    <w:rsid w:val="00652646"/>
    <w:rsid w:val="00652AE5"/>
    <w:rsid w:val="006531CD"/>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CB6"/>
    <w:rsid w:val="00677D81"/>
    <w:rsid w:val="0068064C"/>
    <w:rsid w:val="00680C10"/>
    <w:rsid w:val="00681379"/>
    <w:rsid w:val="006822DE"/>
    <w:rsid w:val="006829F2"/>
    <w:rsid w:val="00682D58"/>
    <w:rsid w:val="006856CF"/>
    <w:rsid w:val="006901D6"/>
    <w:rsid w:val="00692613"/>
    <w:rsid w:val="006926BA"/>
    <w:rsid w:val="00692FC3"/>
    <w:rsid w:val="00693373"/>
    <w:rsid w:val="00694012"/>
    <w:rsid w:val="00694645"/>
    <w:rsid w:val="00694D2A"/>
    <w:rsid w:val="00695AD0"/>
    <w:rsid w:val="006965CD"/>
    <w:rsid w:val="00696DF2"/>
    <w:rsid w:val="00697552"/>
    <w:rsid w:val="00697858"/>
    <w:rsid w:val="00697A87"/>
    <w:rsid w:val="006A1436"/>
    <w:rsid w:val="006A180F"/>
    <w:rsid w:val="006A334F"/>
    <w:rsid w:val="006A3EC5"/>
    <w:rsid w:val="006A456D"/>
    <w:rsid w:val="006A5153"/>
    <w:rsid w:val="006A54BE"/>
    <w:rsid w:val="006A5974"/>
    <w:rsid w:val="006A643E"/>
    <w:rsid w:val="006A6944"/>
    <w:rsid w:val="006A6B02"/>
    <w:rsid w:val="006A6CC4"/>
    <w:rsid w:val="006A7792"/>
    <w:rsid w:val="006B0254"/>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C9"/>
    <w:rsid w:val="006D18C1"/>
    <w:rsid w:val="006D1E24"/>
    <w:rsid w:val="006D34AB"/>
    <w:rsid w:val="006D35D5"/>
    <w:rsid w:val="006D36AE"/>
    <w:rsid w:val="006D3A88"/>
    <w:rsid w:val="006D448F"/>
    <w:rsid w:val="006D466A"/>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632E"/>
    <w:rsid w:val="006E6D90"/>
    <w:rsid w:val="006E6E5B"/>
    <w:rsid w:val="006E7397"/>
    <w:rsid w:val="006F0394"/>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07D"/>
    <w:rsid w:val="00704C10"/>
    <w:rsid w:val="007056FD"/>
    <w:rsid w:val="00705D88"/>
    <w:rsid w:val="00707177"/>
    <w:rsid w:val="007076A8"/>
    <w:rsid w:val="00710201"/>
    <w:rsid w:val="0071066B"/>
    <w:rsid w:val="00710F96"/>
    <w:rsid w:val="0071217B"/>
    <w:rsid w:val="007122D0"/>
    <w:rsid w:val="007123FE"/>
    <w:rsid w:val="00712F4B"/>
    <w:rsid w:val="00712FE0"/>
    <w:rsid w:val="007130AF"/>
    <w:rsid w:val="007132BD"/>
    <w:rsid w:val="007141C7"/>
    <w:rsid w:val="00715050"/>
    <w:rsid w:val="007159EC"/>
    <w:rsid w:val="00716247"/>
    <w:rsid w:val="00716280"/>
    <w:rsid w:val="00716295"/>
    <w:rsid w:val="007163CB"/>
    <w:rsid w:val="0071689E"/>
    <w:rsid w:val="00716B28"/>
    <w:rsid w:val="00717687"/>
    <w:rsid w:val="00717900"/>
    <w:rsid w:val="00717A1C"/>
    <w:rsid w:val="00717BA6"/>
    <w:rsid w:val="0072014D"/>
    <w:rsid w:val="007206DF"/>
    <w:rsid w:val="007217A1"/>
    <w:rsid w:val="00721DC7"/>
    <w:rsid w:val="00721FCB"/>
    <w:rsid w:val="0072346A"/>
    <w:rsid w:val="00723E91"/>
    <w:rsid w:val="007255C7"/>
    <w:rsid w:val="0072612E"/>
    <w:rsid w:val="0072678F"/>
    <w:rsid w:val="00727896"/>
    <w:rsid w:val="00727D28"/>
    <w:rsid w:val="00730422"/>
    <w:rsid w:val="00730A75"/>
    <w:rsid w:val="00732F99"/>
    <w:rsid w:val="007332EF"/>
    <w:rsid w:val="00733557"/>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066F"/>
    <w:rsid w:val="0075199C"/>
    <w:rsid w:val="00753591"/>
    <w:rsid w:val="00753C79"/>
    <w:rsid w:val="007542F1"/>
    <w:rsid w:val="007544BC"/>
    <w:rsid w:val="0075624E"/>
    <w:rsid w:val="00757B81"/>
    <w:rsid w:val="00757D40"/>
    <w:rsid w:val="0076017B"/>
    <w:rsid w:val="00760B2B"/>
    <w:rsid w:val="00761A1A"/>
    <w:rsid w:val="00763224"/>
    <w:rsid w:val="007636D3"/>
    <w:rsid w:val="0076449C"/>
    <w:rsid w:val="007658B7"/>
    <w:rsid w:val="00765AC4"/>
    <w:rsid w:val="007665C4"/>
    <w:rsid w:val="00766967"/>
    <w:rsid w:val="00767601"/>
    <w:rsid w:val="0076792F"/>
    <w:rsid w:val="00767DDD"/>
    <w:rsid w:val="00770F06"/>
    <w:rsid w:val="007710D8"/>
    <w:rsid w:val="00771416"/>
    <w:rsid w:val="0077195B"/>
    <w:rsid w:val="00771BCD"/>
    <w:rsid w:val="007722EF"/>
    <w:rsid w:val="00773593"/>
    <w:rsid w:val="00773ACB"/>
    <w:rsid w:val="0077414B"/>
    <w:rsid w:val="0077427F"/>
    <w:rsid w:val="007745E9"/>
    <w:rsid w:val="00774DFA"/>
    <w:rsid w:val="0077512D"/>
    <w:rsid w:val="00775E8F"/>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A53"/>
    <w:rsid w:val="00793CCC"/>
    <w:rsid w:val="00793E48"/>
    <w:rsid w:val="00794590"/>
    <w:rsid w:val="0079664E"/>
    <w:rsid w:val="00797BEC"/>
    <w:rsid w:val="007A0634"/>
    <w:rsid w:val="007A0DCF"/>
    <w:rsid w:val="007A2383"/>
    <w:rsid w:val="007A53D1"/>
    <w:rsid w:val="007A5735"/>
    <w:rsid w:val="007A616B"/>
    <w:rsid w:val="007A6C33"/>
    <w:rsid w:val="007A7083"/>
    <w:rsid w:val="007A72E5"/>
    <w:rsid w:val="007B09F2"/>
    <w:rsid w:val="007B18D8"/>
    <w:rsid w:val="007B25B1"/>
    <w:rsid w:val="007B2A69"/>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4942"/>
    <w:rsid w:val="007C5CE3"/>
    <w:rsid w:val="007C67D2"/>
    <w:rsid w:val="007C77C4"/>
    <w:rsid w:val="007C7CD2"/>
    <w:rsid w:val="007D0209"/>
    <w:rsid w:val="007D034C"/>
    <w:rsid w:val="007D0BB7"/>
    <w:rsid w:val="007D107C"/>
    <w:rsid w:val="007D19E3"/>
    <w:rsid w:val="007D1BDA"/>
    <w:rsid w:val="007D1FD5"/>
    <w:rsid w:val="007D2CEE"/>
    <w:rsid w:val="007D309E"/>
    <w:rsid w:val="007D31F7"/>
    <w:rsid w:val="007D37B3"/>
    <w:rsid w:val="007D4820"/>
    <w:rsid w:val="007D4B38"/>
    <w:rsid w:val="007D5BED"/>
    <w:rsid w:val="007D5EF6"/>
    <w:rsid w:val="007D692E"/>
    <w:rsid w:val="007D6D10"/>
    <w:rsid w:val="007D7548"/>
    <w:rsid w:val="007D7D25"/>
    <w:rsid w:val="007E0A8D"/>
    <w:rsid w:val="007E166C"/>
    <w:rsid w:val="007E29BC"/>
    <w:rsid w:val="007E4556"/>
    <w:rsid w:val="007E457A"/>
    <w:rsid w:val="007E47BD"/>
    <w:rsid w:val="007E515A"/>
    <w:rsid w:val="007E7BAE"/>
    <w:rsid w:val="007F04EE"/>
    <w:rsid w:val="007F14AD"/>
    <w:rsid w:val="007F18AB"/>
    <w:rsid w:val="007F31EB"/>
    <w:rsid w:val="007F448E"/>
    <w:rsid w:val="007F4F6A"/>
    <w:rsid w:val="007F6EA8"/>
    <w:rsid w:val="007F7268"/>
    <w:rsid w:val="007F7342"/>
    <w:rsid w:val="007F7469"/>
    <w:rsid w:val="00800D57"/>
    <w:rsid w:val="00800F3F"/>
    <w:rsid w:val="0080143C"/>
    <w:rsid w:val="00802899"/>
    <w:rsid w:val="008028A4"/>
    <w:rsid w:val="00802A84"/>
    <w:rsid w:val="0080333D"/>
    <w:rsid w:val="00805094"/>
    <w:rsid w:val="00805E0B"/>
    <w:rsid w:val="00806310"/>
    <w:rsid w:val="00806FCC"/>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0DAB"/>
    <w:rsid w:val="008213E4"/>
    <w:rsid w:val="0082162B"/>
    <w:rsid w:val="00821AED"/>
    <w:rsid w:val="00822184"/>
    <w:rsid w:val="0082281E"/>
    <w:rsid w:val="00823732"/>
    <w:rsid w:val="00823DA9"/>
    <w:rsid w:val="00824149"/>
    <w:rsid w:val="00824755"/>
    <w:rsid w:val="008265B1"/>
    <w:rsid w:val="008267DC"/>
    <w:rsid w:val="0082734E"/>
    <w:rsid w:val="008324A5"/>
    <w:rsid w:val="0083359C"/>
    <w:rsid w:val="008339E3"/>
    <w:rsid w:val="00834604"/>
    <w:rsid w:val="00834A6D"/>
    <w:rsid w:val="008350EE"/>
    <w:rsid w:val="0083538B"/>
    <w:rsid w:val="0083544D"/>
    <w:rsid w:val="0083715F"/>
    <w:rsid w:val="00837662"/>
    <w:rsid w:val="0084046F"/>
    <w:rsid w:val="0084105A"/>
    <w:rsid w:val="00841E56"/>
    <w:rsid w:val="00842816"/>
    <w:rsid w:val="00845E80"/>
    <w:rsid w:val="0084763A"/>
    <w:rsid w:val="00847BBD"/>
    <w:rsid w:val="00850BBB"/>
    <w:rsid w:val="00850E2D"/>
    <w:rsid w:val="00851000"/>
    <w:rsid w:val="008519E3"/>
    <w:rsid w:val="00852621"/>
    <w:rsid w:val="00853B09"/>
    <w:rsid w:val="00854802"/>
    <w:rsid w:val="00854A4F"/>
    <w:rsid w:val="00856127"/>
    <w:rsid w:val="008566EC"/>
    <w:rsid w:val="00856898"/>
    <w:rsid w:val="0085698E"/>
    <w:rsid w:val="008571AD"/>
    <w:rsid w:val="00857756"/>
    <w:rsid w:val="00857908"/>
    <w:rsid w:val="008601CF"/>
    <w:rsid w:val="008606D0"/>
    <w:rsid w:val="00860820"/>
    <w:rsid w:val="00860D01"/>
    <w:rsid w:val="00862133"/>
    <w:rsid w:val="00862701"/>
    <w:rsid w:val="0086528E"/>
    <w:rsid w:val="00865A5E"/>
    <w:rsid w:val="00866F2D"/>
    <w:rsid w:val="008672D8"/>
    <w:rsid w:val="00867D0B"/>
    <w:rsid w:val="00867F46"/>
    <w:rsid w:val="00867FA0"/>
    <w:rsid w:val="00870B46"/>
    <w:rsid w:val="00870C6A"/>
    <w:rsid w:val="00870E37"/>
    <w:rsid w:val="00872913"/>
    <w:rsid w:val="00872E8C"/>
    <w:rsid w:val="0087312B"/>
    <w:rsid w:val="00873320"/>
    <w:rsid w:val="008733A6"/>
    <w:rsid w:val="00873776"/>
    <w:rsid w:val="008740C8"/>
    <w:rsid w:val="00874665"/>
    <w:rsid w:val="008749EF"/>
    <w:rsid w:val="00874FF8"/>
    <w:rsid w:val="008760F1"/>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452"/>
    <w:rsid w:val="008916F0"/>
    <w:rsid w:val="00891E1D"/>
    <w:rsid w:val="00892E85"/>
    <w:rsid w:val="00893663"/>
    <w:rsid w:val="00893864"/>
    <w:rsid w:val="00894069"/>
    <w:rsid w:val="00895302"/>
    <w:rsid w:val="00895474"/>
    <w:rsid w:val="00896DEB"/>
    <w:rsid w:val="00896F64"/>
    <w:rsid w:val="00897A4E"/>
    <w:rsid w:val="00897D42"/>
    <w:rsid w:val="008A07BA"/>
    <w:rsid w:val="008A08FA"/>
    <w:rsid w:val="008A0B24"/>
    <w:rsid w:val="008A15D5"/>
    <w:rsid w:val="008A17D8"/>
    <w:rsid w:val="008A1A06"/>
    <w:rsid w:val="008A203C"/>
    <w:rsid w:val="008A27FC"/>
    <w:rsid w:val="008A2D12"/>
    <w:rsid w:val="008A3049"/>
    <w:rsid w:val="008A3557"/>
    <w:rsid w:val="008A3712"/>
    <w:rsid w:val="008A4BD7"/>
    <w:rsid w:val="008A4DD3"/>
    <w:rsid w:val="008A5CC1"/>
    <w:rsid w:val="008A6D78"/>
    <w:rsid w:val="008A7180"/>
    <w:rsid w:val="008A7BEF"/>
    <w:rsid w:val="008A7EE5"/>
    <w:rsid w:val="008B192A"/>
    <w:rsid w:val="008B39E4"/>
    <w:rsid w:val="008B44F1"/>
    <w:rsid w:val="008B49F8"/>
    <w:rsid w:val="008B4F4A"/>
    <w:rsid w:val="008B526F"/>
    <w:rsid w:val="008B5306"/>
    <w:rsid w:val="008B681A"/>
    <w:rsid w:val="008B6CFA"/>
    <w:rsid w:val="008B73DE"/>
    <w:rsid w:val="008B755C"/>
    <w:rsid w:val="008B7B40"/>
    <w:rsid w:val="008C0E06"/>
    <w:rsid w:val="008C1A63"/>
    <w:rsid w:val="008C20F7"/>
    <w:rsid w:val="008C3465"/>
    <w:rsid w:val="008C35C7"/>
    <w:rsid w:val="008C3F92"/>
    <w:rsid w:val="008C4223"/>
    <w:rsid w:val="008C42B8"/>
    <w:rsid w:val="008C5F7E"/>
    <w:rsid w:val="008C630B"/>
    <w:rsid w:val="008C72B0"/>
    <w:rsid w:val="008C7888"/>
    <w:rsid w:val="008D05CE"/>
    <w:rsid w:val="008D0839"/>
    <w:rsid w:val="008D152A"/>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6D43"/>
    <w:rsid w:val="008E7293"/>
    <w:rsid w:val="008E79A5"/>
    <w:rsid w:val="008F0F2E"/>
    <w:rsid w:val="008F2039"/>
    <w:rsid w:val="008F2BF7"/>
    <w:rsid w:val="008F2E9A"/>
    <w:rsid w:val="008F4C67"/>
    <w:rsid w:val="008F4F70"/>
    <w:rsid w:val="008F6E62"/>
    <w:rsid w:val="009001CC"/>
    <w:rsid w:val="00901335"/>
    <w:rsid w:val="0090187C"/>
    <w:rsid w:val="009024E8"/>
    <w:rsid w:val="0090271F"/>
    <w:rsid w:val="00902DB9"/>
    <w:rsid w:val="0090466A"/>
    <w:rsid w:val="00904715"/>
    <w:rsid w:val="009062D3"/>
    <w:rsid w:val="00907DD2"/>
    <w:rsid w:val="00910114"/>
    <w:rsid w:val="00911A3A"/>
    <w:rsid w:val="00911A8B"/>
    <w:rsid w:val="00911DEA"/>
    <w:rsid w:val="0091282B"/>
    <w:rsid w:val="00912CD4"/>
    <w:rsid w:val="00914072"/>
    <w:rsid w:val="00914ACA"/>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470"/>
    <w:rsid w:val="00955E0D"/>
    <w:rsid w:val="0095664E"/>
    <w:rsid w:val="00956A9D"/>
    <w:rsid w:val="00956B8C"/>
    <w:rsid w:val="00956C71"/>
    <w:rsid w:val="00957D2B"/>
    <w:rsid w:val="00957E6F"/>
    <w:rsid w:val="00961922"/>
    <w:rsid w:val="00961B32"/>
    <w:rsid w:val="00962174"/>
    <w:rsid w:val="0096294B"/>
    <w:rsid w:val="0096307C"/>
    <w:rsid w:val="0096408F"/>
    <w:rsid w:val="00964344"/>
    <w:rsid w:val="00964B2B"/>
    <w:rsid w:val="009656AD"/>
    <w:rsid w:val="009658F8"/>
    <w:rsid w:val="0096593C"/>
    <w:rsid w:val="00966C5D"/>
    <w:rsid w:val="00967FB1"/>
    <w:rsid w:val="009709BE"/>
    <w:rsid w:val="00970DB3"/>
    <w:rsid w:val="00971212"/>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3387"/>
    <w:rsid w:val="00983768"/>
    <w:rsid w:val="00983F29"/>
    <w:rsid w:val="00984778"/>
    <w:rsid w:val="00984CEB"/>
    <w:rsid w:val="009851DF"/>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36A2"/>
    <w:rsid w:val="009A3D14"/>
    <w:rsid w:val="009A443C"/>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A0D"/>
    <w:rsid w:val="009C4B6F"/>
    <w:rsid w:val="009C58C7"/>
    <w:rsid w:val="009C720C"/>
    <w:rsid w:val="009C791C"/>
    <w:rsid w:val="009C7FFA"/>
    <w:rsid w:val="009D0363"/>
    <w:rsid w:val="009D07C2"/>
    <w:rsid w:val="009D0CD3"/>
    <w:rsid w:val="009D13CA"/>
    <w:rsid w:val="009D1CCF"/>
    <w:rsid w:val="009D2048"/>
    <w:rsid w:val="009D2DA6"/>
    <w:rsid w:val="009D338E"/>
    <w:rsid w:val="009D3714"/>
    <w:rsid w:val="009D455A"/>
    <w:rsid w:val="009D4FAF"/>
    <w:rsid w:val="009D5E99"/>
    <w:rsid w:val="009D63AB"/>
    <w:rsid w:val="009D6F47"/>
    <w:rsid w:val="009D703A"/>
    <w:rsid w:val="009D75E4"/>
    <w:rsid w:val="009D7755"/>
    <w:rsid w:val="009E03EA"/>
    <w:rsid w:val="009E079A"/>
    <w:rsid w:val="009E07FF"/>
    <w:rsid w:val="009E1A17"/>
    <w:rsid w:val="009E2A02"/>
    <w:rsid w:val="009E2AA6"/>
    <w:rsid w:val="009E3C02"/>
    <w:rsid w:val="009E3D1A"/>
    <w:rsid w:val="009E44ED"/>
    <w:rsid w:val="009E594F"/>
    <w:rsid w:val="009E747C"/>
    <w:rsid w:val="009E79BE"/>
    <w:rsid w:val="009F07C1"/>
    <w:rsid w:val="009F09B8"/>
    <w:rsid w:val="009F0F01"/>
    <w:rsid w:val="009F10CA"/>
    <w:rsid w:val="009F14A6"/>
    <w:rsid w:val="009F1B72"/>
    <w:rsid w:val="009F1F82"/>
    <w:rsid w:val="009F273D"/>
    <w:rsid w:val="009F2F08"/>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10F02"/>
    <w:rsid w:val="00A11292"/>
    <w:rsid w:val="00A11888"/>
    <w:rsid w:val="00A12025"/>
    <w:rsid w:val="00A133BD"/>
    <w:rsid w:val="00A14E25"/>
    <w:rsid w:val="00A15EA4"/>
    <w:rsid w:val="00A15FB2"/>
    <w:rsid w:val="00A20365"/>
    <w:rsid w:val="00A204CA"/>
    <w:rsid w:val="00A207D2"/>
    <w:rsid w:val="00A212CA"/>
    <w:rsid w:val="00A215F6"/>
    <w:rsid w:val="00A21767"/>
    <w:rsid w:val="00A220DD"/>
    <w:rsid w:val="00A22CE2"/>
    <w:rsid w:val="00A22E27"/>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6D80"/>
    <w:rsid w:val="00A37D9B"/>
    <w:rsid w:val="00A41503"/>
    <w:rsid w:val="00A415AA"/>
    <w:rsid w:val="00A4169D"/>
    <w:rsid w:val="00A42306"/>
    <w:rsid w:val="00A423AE"/>
    <w:rsid w:val="00A432E2"/>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426"/>
    <w:rsid w:val="00A65C1F"/>
    <w:rsid w:val="00A662C4"/>
    <w:rsid w:val="00A66990"/>
    <w:rsid w:val="00A6763F"/>
    <w:rsid w:val="00A678BB"/>
    <w:rsid w:val="00A67D38"/>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103"/>
    <w:rsid w:val="00AA423E"/>
    <w:rsid w:val="00AA4494"/>
    <w:rsid w:val="00AA57EE"/>
    <w:rsid w:val="00AA6E7D"/>
    <w:rsid w:val="00AA7EC1"/>
    <w:rsid w:val="00AB00C3"/>
    <w:rsid w:val="00AB0409"/>
    <w:rsid w:val="00AB04C1"/>
    <w:rsid w:val="00AB0552"/>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802"/>
    <w:rsid w:val="00AC5D25"/>
    <w:rsid w:val="00AC68B0"/>
    <w:rsid w:val="00AC7831"/>
    <w:rsid w:val="00AD0C68"/>
    <w:rsid w:val="00AD0F18"/>
    <w:rsid w:val="00AD0F1D"/>
    <w:rsid w:val="00AD260B"/>
    <w:rsid w:val="00AD2619"/>
    <w:rsid w:val="00AD2C08"/>
    <w:rsid w:val="00AD2ECF"/>
    <w:rsid w:val="00AD5427"/>
    <w:rsid w:val="00AD54D3"/>
    <w:rsid w:val="00AD5B72"/>
    <w:rsid w:val="00AD7ACE"/>
    <w:rsid w:val="00AD7EB7"/>
    <w:rsid w:val="00AE06A4"/>
    <w:rsid w:val="00AE095D"/>
    <w:rsid w:val="00AE0B40"/>
    <w:rsid w:val="00AE1098"/>
    <w:rsid w:val="00AE1871"/>
    <w:rsid w:val="00AE26C0"/>
    <w:rsid w:val="00AE2ACA"/>
    <w:rsid w:val="00AE313B"/>
    <w:rsid w:val="00AE32B8"/>
    <w:rsid w:val="00AE3430"/>
    <w:rsid w:val="00AE35AC"/>
    <w:rsid w:val="00AE4A32"/>
    <w:rsid w:val="00AE5998"/>
    <w:rsid w:val="00AE5A3F"/>
    <w:rsid w:val="00AE600C"/>
    <w:rsid w:val="00AE67B2"/>
    <w:rsid w:val="00AE68D0"/>
    <w:rsid w:val="00AE7394"/>
    <w:rsid w:val="00AE7935"/>
    <w:rsid w:val="00AF11FC"/>
    <w:rsid w:val="00AF154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63E"/>
    <w:rsid w:val="00B05717"/>
    <w:rsid w:val="00B0571A"/>
    <w:rsid w:val="00B0648D"/>
    <w:rsid w:val="00B0663E"/>
    <w:rsid w:val="00B07AAA"/>
    <w:rsid w:val="00B105FB"/>
    <w:rsid w:val="00B10724"/>
    <w:rsid w:val="00B10754"/>
    <w:rsid w:val="00B108FD"/>
    <w:rsid w:val="00B11743"/>
    <w:rsid w:val="00B1192D"/>
    <w:rsid w:val="00B11CB0"/>
    <w:rsid w:val="00B11CED"/>
    <w:rsid w:val="00B141CC"/>
    <w:rsid w:val="00B1456E"/>
    <w:rsid w:val="00B15449"/>
    <w:rsid w:val="00B154C9"/>
    <w:rsid w:val="00B154E0"/>
    <w:rsid w:val="00B15627"/>
    <w:rsid w:val="00B15ADA"/>
    <w:rsid w:val="00B1608D"/>
    <w:rsid w:val="00B1608F"/>
    <w:rsid w:val="00B20900"/>
    <w:rsid w:val="00B22EFB"/>
    <w:rsid w:val="00B2397F"/>
    <w:rsid w:val="00B249C6"/>
    <w:rsid w:val="00B252B2"/>
    <w:rsid w:val="00B25786"/>
    <w:rsid w:val="00B2755F"/>
    <w:rsid w:val="00B27E81"/>
    <w:rsid w:val="00B30224"/>
    <w:rsid w:val="00B30ADA"/>
    <w:rsid w:val="00B331AE"/>
    <w:rsid w:val="00B34B10"/>
    <w:rsid w:val="00B34C41"/>
    <w:rsid w:val="00B359B7"/>
    <w:rsid w:val="00B35E61"/>
    <w:rsid w:val="00B36BDD"/>
    <w:rsid w:val="00B40C67"/>
    <w:rsid w:val="00B41521"/>
    <w:rsid w:val="00B41CAC"/>
    <w:rsid w:val="00B42355"/>
    <w:rsid w:val="00B42667"/>
    <w:rsid w:val="00B444B8"/>
    <w:rsid w:val="00B44E37"/>
    <w:rsid w:val="00B45ACC"/>
    <w:rsid w:val="00B465AD"/>
    <w:rsid w:val="00B4746E"/>
    <w:rsid w:val="00B47929"/>
    <w:rsid w:val="00B47A4D"/>
    <w:rsid w:val="00B47FD1"/>
    <w:rsid w:val="00B516BB"/>
    <w:rsid w:val="00B51B0A"/>
    <w:rsid w:val="00B5205D"/>
    <w:rsid w:val="00B527F5"/>
    <w:rsid w:val="00B528CB"/>
    <w:rsid w:val="00B52AFD"/>
    <w:rsid w:val="00B54665"/>
    <w:rsid w:val="00B5506A"/>
    <w:rsid w:val="00B55369"/>
    <w:rsid w:val="00B55FE7"/>
    <w:rsid w:val="00B567B0"/>
    <w:rsid w:val="00B56EBC"/>
    <w:rsid w:val="00B60645"/>
    <w:rsid w:val="00B6118A"/>
    <w:rsid w:val="00B61417"/>
    <w:rsid w:val="00B61C42"/>
    <w:rsid w:val="00B62989"/>
    <w:rsid w:val="00B633C3"/>
    <w:rsid w:val="00B6406E"/>
    <w:rsid w:val="00B642B6"/>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09"/>
    <w:rsid w:val="00B76DA4"/>
    <w:rsid w:val="00B7739C"/>
    <w:rsid w:val="00B8019B"/>
    <w:rsid w:val="00B82350"/>
    <w:rsid w:val="00B82DD7"/>
    <w:rsid w:val="00B82E5C"/>
    <w:rsid w:val="00B83E3C"/>
    <w:rsid w:val="00B83F9A"/>
    <w:rsid w:val="00B84656"/>
    <w:rsid w:val="00B84B18"/>
    <w:rsid w:val="00B84E57"/>
    <w:rsid w:val="00B86A6B"/>
    <w:rsid w:val="00B8739B"/>
    <w:rsid w:val="00B87E65"/>
    <w:rsid w:val="00B904DB"/>
    <w:rsid w:val="00B91084"/>
    <w:rsid w:val="00B912B1"/>
    <w:rsid w:val="00B91DB0"/>
    <w:rsid w:val="00B923E3"/>
    <w:rsid w:val="00B92D6D"/>
    <w:rsid w:val="00B930EE"/>
    <w:rsid w:val="00B932FC"/>
    <w:rsid w:val="00B93CE2"/>
    <w:rsid w:val="00B96CCF"/>
    <w:rsid w:val="00B97C71"/>
    <w:rsid w:val="00B97CBC"/>
    <w:rsid w:val="00BA12DC"/>
    <w:rsid w:val="00BA21F5"/>
    <w:rsid w:val="00BA2233"/>
    <w:rsid w:val="00BA2ABC"/>
    <w:rsid w:val="00BA2BA8"/>
    <w:rsid w:val="00BA3230"/>
    <w:rsid w:val="00BA3470"/>
    <w:rsid w:val="00BA37B5"/>
    <w:rsid w:val="00BA3913"/>
    <w:rsid w:val="00BA3C63"/>
    <w:rsid w:val="00BA41CE"/>
    <w:rsid w:val="00BA601F"/>
    <w:rsid w:val="00BA6350"/>
    <w:rsid w:val="00BA695C"/>
    <w:rsid w:val="00BA6B3D"/>
    <w:rsid w:val="00BA7FDD"/>
    <w:rsid w:val="00BB06CA"/>
    <w:rsid w:val="00BB1117"/>
    <w:rsid w:val="00BB1993"/>
    <w:rsid w:val="00BB1AF7"/>
    <w:rsid w:val="00BB1D64"/>
    <w:rsid w:val="00BB586B"/>
    <w:rsid w:val="00BB5E22"/>
    <w:rsid w:val="00BB6E24"/>
    <w:rsid w:val="00BB7F92"/>
    <w:rsid w:val="00BC02B4"/>
    <w:rsid w:val="00BC0337"/>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600"/>
    <w:rsid w:val="00BE1D51"/>
    <w:rsid w:val="00BE2C8F"/>
    <w:rsid w:val="00BE5261"/>
    <w:rsid w:val="00BE6151"/>
    <w:rsid w:val="00BE7500"/>
    <w:rsid w:val="00BE7B3F"/>
    <w:rsid w:val="00BF0EB3"/>
    <w:rsid w:val="00BF178C"/>
    <w:rsid w:val="00BF17EA"/>
    <w:rsid w:val="00BF1C56"/>
    <w:rsid w:val="00BF1CF3"/>
    <w:rsid w:val="00BF296A"/>
    <w:rsid w:val="00BF4416"/>
    <w:rsid w:val="00BF449E"/>
    <w:rsid w:val="00BF44D8"/>
    <w:rsid w:val="00BF46D7"/>
    <w:rsid w:val="00BF4F36"/>
    <w:rsid w:val="00BF5561"/>
    <w:rsid w:val="00BF630D"/>
    <w:rsid w:val="00BF6EB6"/>
    <w:rsid w:val="00BF6F0E"/>
    <w:rsid w:val="00BF730B"/>
    <w:rsid w:val="00BF7C02"/>
    <w:rsid w:val="00BF7DBE"/>
    <w:rsid w:val="00BF7E5C"/>
    <w:rsid w:val="00C00280"/>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5E25"/>
    <w:rsid w:val="00C36915"/>
    <w:rsid w:val="00C3692B"/>
    <w:rsid w:val="00C36B92"/>
    <w:rsid w:val="00C37FDE"/>
    <w:rsid w:val="00C408BD"/>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0252"/>
    <w:rsid w:val="00C51135"/>
    <w:rsid w:val="00C51D27"/>
    <w:rsid w:val="00C539C1"/>
    <w:rsid w:val="00C53EEB"/>
    <w:rsid w:val="00C54E2D"/>
    <w:rsid w:val="00C54E61"/>
    <w:rsid w:val="00C556FB"/>
    <w:rsid w:val="00C564AF"/>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58E"/>
    <w:rsid w:val="00C74A7B"/>
    <w:rsid w:val="00C74E76"/>
    <w:rsid w:val="00C74EFF"/>
    <w:rsid w:val="00C75635"/>
    <w:rsid w:val="00C75C84"/>
    <w:rsid w:val="00C7657F"/>
    <w:rsid w:val="00C768BB"/>
    <w:rsid w:val="00C76953"/>
    <w:rsid w:val="00C773BD"/>
    <w:rsid w:val="00C77BD4"/>
    <w:rsid w:val="00C77C7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06"/>
    <w:rsid w:val="00C913CF"/>
    <w:rsid w:val="00C91BDC"/>
    <w:rsid w:val="00C9255D"/>
    <w:rsid w:val="00C9285D"/>
    <w:rsid w:val="00C92967"/>
    <w:rsid w:val="00C93222"/>
    <w:rsid w:val="00C9499A"/>
    <w:rsid w:val="00C97DD9"/>
    <w:rsid w:val="00CA045C"/>
    <w:rsid w:val="00CA0C6F"/>
    <w:rsid w:val="00CA160C"/>
    <w:rsid w:val="00CA1F9F"/>
    <w:rsid w:val="00CA2EDD"/>
    <w:rsid w:val="00CA38FD"/>
    <w:rsid w:val="00CA3D0C"/>
    <w:rsid w:val="00CA3E3F"/>
    <w:rsid w:val="00CA4CC4"/>
    <w:rsid w:val="00CA55A2"/>
    <w:rsid w:val="00CA6073"/>
    <w:rsid w:val="00CA654B"/>
    <w:rsid w:val="00CA6DFD"/>
    <w:rsid w:val="00CA7C3C"/>
    <w:rsid w:val="00CA7DD6"/>
    <w:rsid w:val="00CA7FB5"/>
    <w:rsid w:val="00CB0391"/>
    <w:rsid w:val="00CB08B8"/>
    <w:rsid w:val="00CB0E01"/>
    <w:rsid w:val="00CB1831"/>
    <w:rsid w:val="00CB192D"/>
    <w:rsid w:val="00CB20EE"/>
    <w:rsid w:val="00CB22D7"/>
    <w:rsid w:val="00CB24EA"/>
    <w:rsid w:val="00CB430D"/>
    <w:rsid w:val="00CB4445"/>
    <w:rsid w:val="00CB474B"/>
    <w:rsid w:val="00CB5D27"/>
    <w:rsid w:val="00CB6926"/>
    <w:rsid w:val="00CB7619"/>
    <w:rsid w:val="00CC02B0"/>
    <w:rsid w:val="00CC05BA"/>
    <w:rsid w:val="00CC325B"/>
    <w:rsid w:val="00CC365E"/>
    <w:rsid w:val="00CC400A"/>
    <w:rsid w:val="00CC43A2"/>
    <w:rsid w:val="00CC4A80"/>
    <w:rsid w:val="00CD0001"/>
    <w:rsid w:val="00CD0243"/>
    <w:rsid w:val="00CD0BDC"/>
    <w:rsid w:val="00CD0E61"/>
    <w:rsid w:val="00CD1914"/>
    <w:rsid w:val="00CD1CFE"/>
    <w:rsid w:val="00CD3B77"/>
    <w:rsid w:val="00CD3C8B"/>
    <w:rsid w:val="00CD3E58"/>
    <w:rsid w:val="00CD3F2C"/>
    <w:rsid w:val="00CD4A61"/>
    <w:rsid w:val="00CD4A69"/>
    <w:rsid w:val="00CD4B8C"/>
    <w:rsid w:val="00CD4BE8"/>
    <w:rsid w:val="00CD4C7B"/>
    <w:rsid w:val="00CD53B1"/>
    <w:rsid w:val="00CD585A"/>
    <w:rsid w:val="00CD6310"/>
    <w:rsid w:val="00CD6435"/>
    <w:rsid w:val="00CD6FB9"/>
    <w:rsid w:val="00CD794B"/>
    <w:rsid w:val="00CE054B"/>
    <w:rsid w:val="00CE0C45"/>
    <w:rsid w:val="00CE2AC0"/>
    <w:rsid w:val="00CE3213"/>
    <w:rsid w:val="00CE3BD1"/>
    <w:rsid w:val="00CE3E5A"/>
    <w:rsid w:val="00CE476C"/>
    <w:rsid w:val="00CE4949"/>
    <w:rsid w:val="00CE4AD0"/>
    <w:rsid w:val="00CE4B6F"/>
    <w:rsid w:val="00CE6B63"/>
    <w:rsid w:val="00CE7802"/>
    <w:rsid w:val="00CF002A"/>
    <w:rsid w:val="00CF07F5"/>
    <w:rsid w:val="00CF0E9F"/>
    <w:rsid w:val="00CF2C9F"/>
    <w:rsid w:val="00CF32FE"/>
    <w:rsid w:val="00CF56CD"/>
    <w:rsid w:val="00CF5B76"/>
    <w:rsid w:val="00CF6D74"/>
    <w:rsid w:val="00CF77AE"/>
    <w:rsid w:val="00D00174"/>
    <w:rsid w:val="00D04103"/>
    <w:rsid w:val="00D048E7"/>
    <w:rsid w:val="00D05C9E"/>
    <w:rsid w:val="00D10F6F"/>
    <w:rsid w:val="00D12EE1"/>
    <w:rsid w:val="00D133BA"/>
    <w:rsid w:val="00D13AB6"/>
    <w:rsid w:val="00D13B94"/>
    <w:rsid w:val="00D144D3"/>
    <w:rsid w:val="00D15857"/>
    <w:rsid w:val="00D159C3"/>
    <w:rsid w:val="00D15AEB"/>
    <w:rsid w:val="00D16F35"/>
    <w:rsid w:val="00D20104"/>
    <w:rsid w:val="00D20E7D"/>
    <w:rsid w:val="00D21C67"/>
    <w:rsid w:val="00D21C72"/>
    <w:rsid w:val="00D2235B"/>
    <w:rsid w:val="00D22430"/>
    <w:rsid w:val="00D22C8C"/>
    <w:rsid w:val="00D23786"/>
    <w:rsid w:val="00D241BA"/>
    <w:rsid w:val="00D241C8"/>
    <w:rsid w:val="00D25079"/>
    <w:rsid w:val="00D267CF"/>
    <w:rsid w:val="00D26988"/>
    <w:rsid w:val="00D26AA2"/>
    <w:rsid w:val="00D27E3D"/>
    <w:rsid w:val="00D31342"/>
    <w:rsid w:val="00D31F70"/>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48D7"/>
    <w:rsid w:val="00D54EF9"/>
    <w:rsid w:val="00D57B51"/>
    <w:rsid w:val="00D61B6D"/>
    <w:rsid w:val="00D61CC0"/>
    <w:rsid w:val="00D62541"/>
    <w:rsid w:val="00D62E82"/>
    <w:rsid w:val="00D63BB4"/>
    <w:rsid w:val="00D64B2D"/>
    <w:rsid w:val="00D652B8"/>
    <w:rsid w:val="00D66F34"/>
    <w:rsid w:val="00D679C7"/>
    <w:rsid w:val="00D7030D"/>
    <w:rsid w:val="00D738D6"/>
    <w:rsid w:val="00D73D5E"/>
    <w:rsid w:val="00D73EBA"/>
    <w:rsid w:val="00D742F4"/>
    <w:rsid w:val="00D75638"/>
    <w:rsid w:val="00D778F8"/>
    <w:rsid w:val="00D80795"/>
    <w:rsid w:val="00D80EED"/>
    <w:rsid w:val="00D80F5E"/>
    <w:rsid w:val="00D8229E"/>
    <w:rsid w:val="00D840F9"/>
    <w:rsid w:val="00D84D1D"/>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4396"/>
    <w:rsid w:val="00DA4533"/>
    <w:rsid w:val="00DA4D2E"/>
    <w:rsid w:val="00DA5616"/>
    <w:rsid w:val="00DA5B59"/>
    <w:rsid w:val="00DA5CBB"/>
    <w:rsid w:val="00DA5F98"/>
    <w:rsid w:val="00DA6ED3"/>
    <w:rsid w:val="00DA7449"/>
    <w:rsid w:val="00DA7A03"/>
    <w:rsid w:val="00DA7C02"/>
    <w:rsid w:val="00DA7EE2"/>
    <w:rsid w:val="00DB033E"/>
    <w:rsid w:val="00DB11E4"/>
    <w:rsid w:val="00DB1818"/>
    <w:rsid w:val="00DB276F"/>
    <w:rsid w:val="00DB2B5D"/>
    <w:rsid w:val="00DB4271"/>
    <w:rsid w:val="00DB4BA8"/>
    <w:rsid w:val="00DB6E8D"/>
    <w:rsid w:val="00DB72F8"/>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6BE"/>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39F9"/>
    <w:rsid w:val="00DF4786"/>
    <w:rsid w:val="00DF5B0C"/>
    <w:rsid w:val="00DF5F13"/>
    <w:rsid w:val="00DF61A7"/>
    <w:rsid w:val="00DF7106"/>
    <w:rsid w:val="00DF72FF"/>
    <w:rsid w:val="00E02311"/>
    <w:rsid w:val="00E02388"/>
    <w:rsid w:val="00E02F6A"/>
    <w:rsid w:val="00E03198"/>
    <w:rsid w:val="00E031D2"/>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4E30"/>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27F65"/>
    <w:rsid w:val="00E307FC"/>
    <w:rsid w:val="00E30A54"/>
    <w:rsid w:val="00E31309"/>
    <w:rsid w:val="00E313B9"/>
    <w:rsid w:val="00E31932"/>
    <w:rsid w:val="00E31E89"/>
    <w:rsid w:val="00E32319"/>
    <w:rsid w:val="00E32AAC"/>
    <w:rsid w:val="00E32D86"/>
    <w:rsid w:val="00E33147"/>
    <w:rsid w:val="00E34168"/>
    <w:rsid w:val="00E35793"/>
    <w:rsid w:val="00E35887"/>
    <w:rsid w:val="00E36154"/>
    <w:rsid w:val="00E36407"/>
    <w:rsid w:val="00E4010F"/>
    <w:rsid w:val="00E4026E"/>
    <w:rsid w:val="00E40E41"/>
    <w:rsid w:val="00E42D93"/>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52A"/>
    <w:rsid w:val="00E65E10"/>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4920"/>
    <w:rsid w:val="00EA5174"/>
    <w:rsid w:val="00EA5C53"/>
    <w:rsid w:val="00EA6062"/>
    <w:rsid w:val="00EA6CB4"/>
    <w:rsid w:val="00EA6E76"/>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4EB6"/>
    <w:rsid w:val="00ED516E"/>
    <w:rsid w:val="00ED534A"/>
    <w:rsid w:val="00ED5F88"/>
    <w:rsid w:val="00ED6519"/>
    <w:rsid w:val="00ED680B"/>
    <w:rsid w:val="00EE145C"/>
    <w:rsid w:val="00EE1512"/>
    <w:rsid w:val="00EE1CC6"/>
    <w:rsid w:val="00EE217F"/>
    <w:rsid w:val="00EE2432"/>
    <w:rsid w:val="00EE24F5"/>
    <w:rsid w:val="00EE2ED1"/>
    <w:rsid w:val="00EE4120"/>
    <w:rsid w:val="00EE44AD"/>
    <w:rsid w:val="00EE7D5E"/>
    <w:rsid w:val="00EE7D61"/>
    <w:rsid w:val="00EF0074"/>
    <w:rsid w:val="00EF1A28"/>
    <w:rsid w:val="00EF1E0A"/>
    <w:rsid w:val="00EF267F"/>
    <w:rsid w:val="00EF2BAD"/>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5EE0"/>
    <w:rsid w:val="00F26CFA"/>
    <w:rsid w:val="00F26DA1"/>
    <w:rsid w:val="00F2754C"/>
    <w:rsid w:val="00F27FB6"/>
    <w:rsid w:val="00F3056A"/>
    <w:rsid w:val="00F31951"/>
    <w:rsid w:val="00F31CC8"/>
    <w:rsid w:val="00F31D28"/>
    <w:rsid w:val="00F32173"/>
    <w:rsid w:val="00F3250E"/>
    <w:rsid w:val="00F326D6"/>
    <w:rsid w:val="00F32EE5"/>
    <w:rsid w:val="00F33237"/>
    <w:rsid w:val="00F3465E"/>
    <w:rsid w:val="00F34BF6"/>
    <w:rsid w:val="00F36AA5"/>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72D"/>
    <w:rsid w:val="00F5490A"/>
    <w:rsid w:val="00F54A3D"/>
    <w:rsid w:val="00F54F7D"/>
    <w:rsid w:val="00F54F9B"/>
    <w:rsid w:val="00F55207"/>
    <w:rsid w:val="00F56336"/>
    <w:rsid w:val="00F56C30"/>
    <w:rsid w:val="00F57BF8"/>
    <w:rsid w:val="00F57BF9"/>
    <w:rsid w:val="00F62456"/>
    <w:rsid w:val="00F625C6"/>
    <w:rsid w:val="00F653B8"/>
    <w:rsid w:val="00F65A82"/>
    <w:rsid w:val="00F66E5B"/>
    <w:rsid w:val="00F70563"/>
    <w:rsid w:val="00F705E6"/>
    <w:rsid w:val="00F70AD1"/>
    <w:rsid w:val="00F71764"/>
    <w:rsid w:val="00F71B89"/>
    <w:rsid w:val="00F72598"/>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87D4A"/>
    <w:rsid w:val="00F90592"/>
    <w:rsid w:val="00F905C6"/>
    <w:rsid w:val="00F91C18"/>
    <w:rsid w:val="00F922EB"/>
    <w:rsid w:val="00F926AC"/>
    <w:rsid w:val="00F937A5"/>
    <w:rsid w:val="00F941A4"/>
    <w:rsid w:val="00F944BA"/>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1192"/>
    <w:rsid w:val="00FC22E7"/>
    <w:rsid w:val="00FC2520"/>
    <w:rsid w:val="00FC40D3"/>
    <w:rsid w:val="00FC5133"/>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5D96"/>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1AC229C7-C2B1-4A0C-94E0-3D304CBF4288}">
  <ds:schemaRefs>
    <ds:schemaRef ds:uri="http://schemas.microsoft.com/sharepoint/v3/contenttype/forms"/>
  </ds:schemaRefs>
</ds:datastoreItem>
</file>

<file path=customXml/itemProps4.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839759-696D-4FB4-9A8F-96BBBD72D2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1083</TotalTime>
  <Pages>4</Pages>
  <Words>1702</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188</cp:revision>
  <dcterms:created xsi:type="dcterms:W3CDTF">2022-11-03T14:23:00Z</dcterms:created>
  <dcterms:modified xsi:type="dcterms:W3CDTF">2023-02-16T18:19:00Z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